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2f5496" w:space="1" w:sz="24" w:val="single"/>
          <w:left w:color="2f5496" w:space="4" w:sz="24" w:val="single"/>
          <w:bottom w:color="2f5496" w:space="1" w:sz="24" w:val="single"/>
          <w:right w:color="2f5496" w:space="4" w:sz="24" w:val="single"/>
        </w:pBdr>
        <w:shd w:fill="b4c6e7" w:val="clear"/>
        <w:jc w:val="center"/>
        <w:rPr>
          <w:b w:val="1"/>
          <w:sz w:val="36"/>
          <w:szCs w:val="36"/>
        </w:rPr>
      </w:pPr>
      <w:r w:rsidDel="00000000" w:rsidR="00000000" w:rsidRPr="00000000">
        <w:rPr>
          <w:b w:val="1"/>
          <w:sz w:val="36"/>
          <w:szCs w:val="36"/>
          <w:rtl w:val="0"/>
        </w:rPr>
        <w:t xml:space="preserve">Fiche de présentation et d’accompagnement</w:t>
      </w:r>
    </w:p>
    <w:p w:rsidR="00000000" w:rsidDel="00000000" w:rsidP="00000000" w:rsidRDefault="00000000" w:rsidRPr="00000000" w14:paraId="00000002">
      <w:pPr>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Première - Enseignement scientifique</w:t>
      </w:r>
    </w:p>
    <w:p w:rsidR="00000000" w:rsidDel="00000000" w:rsidP="00000000" w:rsidRDefault="00000000" w:rsidRPr="00000000" w14:paraId="00000003">
      <w:pPr>
        <w:jc w:val="center"/>
        <w:rPr>
          <w:sz w:val="8"/>
          <w:szCs w:val="8"/>
        </w:rPr>
      </w:pPr>
      <w:r w:rsidDel="00000000" w:rsidR="00000000" w:rsidRPr="00000000">
        <w:rPr>
          <w:rtl w:val="0"/>
        </w:rPr>
      </w:r>
    </w:p>
    <w:p w:rsidR="00000000" w:rsidDel="00000000" w:rsidP="00000000" w:rsidRDefault="00000000" w:rsidRPr="00000000" w14:paraId="00000004">
      <w:pPr>
        <w:pBdr>
          <w:top w:color="2f5496" w:space="1" w:sz="8" w:val="single"/>
          <w:left w:color="2f5496" w:space="4" w:sz="8" w:val="single"/>
          <w:bottom w:color="2f5496" w:space="1" w:sz="8" w:val="single"/>
          <w:right w:color="2f5496" w:space="4" w:sz="8" w:val="single"/>
        </w:pBdr>
        <w:shd w:fill="ffffff" w:val="clear"/>
        <w:ind w:left="567" w:right="567"/>
        <w:jc w:val="center"/>
        <w:rPr>
          <w:b w:val="1"/>
          <w:color w:val="2f5496"/>
          <w:sz w:val="32"/>
          <w:szCs w:val="32"/>
        </w:rPr>
      </w:pPr>
      <w:r w:rsidDel="00000000" w:rsidR="00000000" w:rsidRPr="00000000">
        <w:rPr>
          <w:b w:val="1"/>
          <w:color w:val="2f5496"/>
          <w:sz w:val="32"/>
          <w:szCs w:val="32"/>
          <w:u w:val="single"/>
          <w:rtl w:val="0"/>
        </w:rPr>
        <w:t xml:space="preserve">Chapitre 1</w:t>
      </w:r>
      <w:r w:rsidDel="00000000" w:rsidR="00000000" w:rsidRPr="00000000">
        <w:rPr>
          <w:b w:val="1"/>
          <w:color w:val="2f5496"/>
          <w:sz w:val="32"/>
          <w:szCs w:val="32"/>
          <w:rtl w:val="0"/>
        </w:rPr>
        <w:t xml:space="preserve"> : L’organisation de la matière : Les éléments chimiques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Bdr>
          <w:top w:color="2f5496" w:space="1" w:sz="8" w:val="single"/>
          <w:left w:color="2f5496" w:space="4" w:sz="8" w:val="single"/>
          <w:bottom w:color="2f5496" w:space="1" w:sz="8" w:val="single"/>
          <w:right w:color="2f5496" w:space="4" w:sz="8" w:val="single"/>
        </w:pBdr>
        <w:ind w:left="567" w:right="567"/>
        <w:jc w:val="center"/>
        <w:rPr>
          <w:b w:val="1"/>
          <w:color w:val="2f5496"/>
          <w:sz w:val="32"/>
          <w:szCs w:val="32"/>
        </w:rPr>
      </w:pPr>
      <w:r w:rsidDel="00000000" w:rsidR="00000000" w:rsidRPr="00000000">
        <w:rPr>
          <w:b w:val="1"/>
          <w:color w:val="2f5496"/>
          <w:sz w:val="32"/>
          <w:szCs w:val="32"/>
          <w:u w:val="single"/>
          <w:rtl w:val="0"/>
        </w:rPr>
        <w:t xml:space="preserve">Nom de l’activité 2 : La radioactivité</w:t>
      </w:r>
      <w:r w:rsidDel="00000000" w:rsidR="00000000" w:rsidRPr="00000000">
        <w:rPr>
          <w:rtl w:val="0"/>
        </w:rPr>
      </w:r>
    </w:p>
    <w:p w:rsidR="00000000" w:rsidDel="00000000" w:rsidP="00000000" w:rsidRDefault="00000000" w:rsidRPr="00000000" w14:paraId="00000007">
      <w:pPr>
        <w:jc w:val="center"/>
        <w:rPr>
          <w:b w:val="1"/>
          <w:sz w:val="32"/>
          <w:szCs w:val="32"/>
        </w:rPr>
      </w:pPr>
      <w:r w:rsidDel="00000000" w:rsidR="00000000" w:rsidRPr="00000000">
        <w:rPr>
          <w:rFonts w:ascii="Calibri" w:cs="Calibri" w:eastAsia="Calibri" w:hAnsi="Calibri"/>
          <w:sz w:val="36"/>
          <w:szCs w:val="36"/>
          <w:rtl w:val="0"/>
        </w:rPr>
        <w:t xml:space="preserve">Activité Cours</w:t>
      </w: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Individuel</w:t>
      </w:r>
    </w:p>
    <w:p w:rsidR="00000000" w:rsidDel="00000000" w:rsidP="00000000" w:rsidRDefault="00000000" w:rsidRPr="00000000" w14:paraId="00000009">
      <w:pPr>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1 heure</w:t>
      </w:r>
    </w:p>
    <w:p w:rsidR="00000000" w:rsidDel="00000000" w:rsidP="00000000" w:rsidRDefault="00000000" w:rsidRPr="00000000" w14:paraId="0000000A">
      <w:pPr>
        <w:rPr>
          <w:b w:val="1"/>
          <w:sz w:val="24"/>
          <w:szCs w:val="24"/>
        </w:rPr>
      </w:pPr>
      <w:r w:rsidDel="00000000" w:rsidR="00000000" w:rsidRPr="00000000">
        <w:rPr>
          <w:rtl w:val="0"/>
        </w:rPr>
      </w:r>
    </w:p>
    <w:tbl>
      <w:tblPr>
        <w:tblStyle w:val="Table1"/>
        <w:tblW w:w="10456.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5228"/>
        <w:gridCol w:w="5228"/>
        <w:tblGridChange w:id="0">
          <w:tblGrid>
            <w:gridCol w:w="5228"/>
            <w:gridCol w:w="5228"/>
          </w:tblGrid>
        </w:tblGridChange>
      </w:tblGrid>
      <w:tr>
        <w:tc>
          <w:tcPr>
            <w:gridSpan w:val="2"/>
          </w:tcPr>
          <w:p w:rsidR="00000000" w:rsidDel="00000000" w:rsidP="00000000" w:rsidRDefault="00000000" w:rsidRPr="00000000" w14:paraId="0000000B">
            <w:pPr>
              <w:jc w:val="center"/>
              <w:rPr>
                <w:sz w:val="36"/>
                <w:szCs w:val="36"/>
              </w:rPr>
            </w:pPr>
            <w:r w:rsidDel="00000000" w:rsidR="00000000" w:rsidRPr="00000000">
              <w:rPr>
                <w:sz w:val="36"/>
                <w:szCs w:val="36"/>
                <w:rtl w:val="0"/>
              </w:rPr>
              <w:t xml:space="preserve">Programme officiel</w:t>
            </w:r>
          </w:p>
        </w:tc>
      </w:tr>
      <w:tr>
        <w:tc>
          <w:tcPr>
            <w:tcBorders>
              <w:bottom w:color="666666" w:space="0" w:sz="4" w:val="single"/>
            </w:tcBorders>
            <w:shd w:fill="8eaadb" w:val="clear"/>
          </w:tcPr>
          <w:p w:rsidR="00000000" w:rsidDel="00000000" w:rsidP="00000000" w:rsidRDefault="00000000" w:rsidRPr="00000000" w14:paraId="0000000D">
            <w:pPr>
              <w:jc w:val="center"/>
              <w:rPr>
                <w:sz w:val="28"/>
                <w:szCs w:val="28"/>
              </w:rPr>
            </w:pPr>
            <w:r w:rsidDel="00000000" w:rsidR="00000000" w:rsidRPr="00000000">
              <w:rPr>
                <w:sz w:val="28"/>
                <w:szCs w:val="28"/>
                <w:rtl w:val="0"/>
              </w:rPr>
              <w:t xml:space="preserve">Savoir</w:t>
            </w:r>
          </w:p>
        </w:tc>
        <w:tc>
          <w:tcPr>
            <w:tcBorders>
              <w:bottom w:color="666666" w:space="0" w:sz="4" w:val="single"/>
            </w:tcBorders>
            <w:shd w:fill="8eaadb" w:val="clear"/>
          </w:tcPr>
          <w:p w:rsidR="00000000" w:rsidDel="00000000" w:rsidP="00000000" w:rsidRDefault="00000000" w:rsidRPr="00000000" w14:paraId="0000000E">
            <w:pPr>
              <w:jc w:val="center"/>
              <w:rPr>
                <w:b w:val="1"/>
                <w:sz w:val="28"/>
                <w:szCs w:val="28"/>
              </w:rPr>
            </w:pPr>
            <w:r w:rsidDel="00000000" w:rsidR="00000000" w:rsidRPr="00000000">
              <w:rPr>
                <w:b w:val="1"/>
                <w:sz w:val="28"/>
                <w:szCs w:val="28"/>
                <w:rtl w:val="0"/>
              </w:rPr>
              <w:t xml:space="preserve">Savoir-faire</w:t>
            </w:r>
          </w:p>
        </w:tc>
      </w:tr>
      <w:tr>
        <w:tc>
          <w:tcPr>
            <w:tcBorders>
              <w:bottom w:color="000000" w:space="0" w:sz="0" w:val="nil"/>
            </w:tcBorders>
            <w:shd w:fill="d9e2f3" w:val="clear"/>
          </w:tcPr>
          <w:p w:rsidR="00000000" w:rsidDel="00000000" w:rsidP="00000000" w:rsidRDefault="00000000" w:rsidRPr="00000000" w14:paraId="0000000F">
            <w:pPr>
              <w:jc w:val="both"/>
              <w:rPr/>
            </w:pPr>
            <w:r w:rsidDel="00000000" w:rsidR="00000000" w:rsidRPr="00000000">
              <w:rPr>
                <w:rtl w:val="0"/>
              </w:rPr>
              <w:t xml:space="preserve">Certains noyaux sont instables et se désintègrent (radioactivité).</w:t>
            </w:r>
          </w:p>
          <w:p w:rsidR="00000000" w:rsidDel="00000000" w:rsidP="00000000" w:rsidRDefault="00000000" w:rsidRPr="00000000" w14:paraId="00000010">
            <w:pPr>
              <w:jc w:val="both"/>
              <w:rPr/>
            </w:pPr>
            <w:r w:rsidDel="00000000" w:rsidR="00000000" w:rsidRPr="00000000">
              <w:rPr>
                <w:rtl w:val="0"/>
              </w:rPr>
              <w:t xml:space="preserve">L’instant de désintégration d’un noyau radioactif individuel est aléatoire.</w:t>
            </w:r>
          </w:p>
          <w:p w:rsidR="00000000" w:rsidDel="00000000" w:rsidP="00000000" w:rsidRDefault="00000000" w:rsidRPr="00000000" w14:paraId="00000011">
            <w:pPr>
              <w:jc w:val="both"/>
              <w:rPr/>
            </w:pPr>
            <w:r w:rsidDel="00000000" w:rsidR="00000000" w:rsidRPr="00000000">
              <w:rPr>
                <w:rtl w:val="0"/>
              </w:rPr>
              <w:t xml:space="preserve">La demi-vie d’un noyau radioactif est la durée nécessaire pour que la moitié des noyaux initialement présents dans un échantillon macroscopique se soit désintégrée.</w:t>
            </w:r>
          </w:p>
          <w:p w:rsidR="00000000" w:rsidDel="00000000" w:rsidP="00000000" w:rsidRDefault="00000000" w:rsidRPr="00000000" w14:paraId="00000012">
            <w:pPr>
              <w:rPr>
                <w:sz w:val="24"/>
                <w:szCs w:val="24"/>
              </w:rPr>
            </w:pPr>
            <w:r w:rsidDel="00000000" w:rsidR="00000000" w:rsidRPr="00000000">
              <w:rPr>
                <w:rtl w:val="0"/>
              </w:rPr>
              <w:t xml:space="preserve">Cette demi-vie est caractéristique du noyau radioactif.</w:t>
            </w: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rtl w:val="0"/>
              </w:rPr>
            </w:r>
          </w:p>
        </w:tc>
        <w:tc>
          <w:tcPr>
            <w:tcBorders>
              <w:bottom w:color="000000" w:space="0" w:sz="0" w:val="nil"/>
            </w:tcBorders>
            <w:shd w:fill="d9e2f3" w:val="clear"/>
          </w:tcPr>
          <w:p w:rsidR="00000000" w:rsidDel="00000000" w:rsidP="00000000" w:rsidRDefault="00000000" w:rsidRPr="00000000" w14:paraId="00000014">
            <w:pPr>
              <w:jc w:val="both"/>
              <w:rPr>
                <w:b w:val="1"/>
              </w:rPr>
            </w:pPr>
            <w:r w:rsidDel="00000000" w:rsidR="00000000" w:rsidRPr="00000000">
              <w:rPr>
                <w:b w:val="1"/>
                <w:rtl w:val="0"/>
              </w:rPr>
              <w:t xml:space="preserve">Calculer le nombre de noyaux restants au bout de n demi-vies Estimer la durée nécessaire pour obtenir une certaine proportion de noyaux restants. </w:t>
            </w:r>
          </w:p>
          <w:p w:rsidR="00000000" w:rsidDel="00000000" w:rsidP="00000000" w:rsidRDefault="00000000" w:rsidRPr="00000000" w14:paraId="00000015">
            <w:pPr>
              <w:rPr>
                <w:b w:val="1"/>
                <w:sz w:val="24"/>
                <w:szCs w:val="24"/>
              </w:rPr>
            </w:pPr>
            <w:r w:rsidDel="00000000" w:rsidR="00000000" w:rsidRPr="00000000">
              <w:rPr>
                <w:b w:val="1"/>
                <w:rtl w:val="0"/>
              </w:rPr>
              <w:t xml:space="preserve">Utiliser une représentation graphique pour déterminer une demi-vie.</w:t>
            </w:r>
            <w:r w:rsidDel="00000000" w:rsidR="00000000" w:rsidRPr="00000000">
              <w:rPr>
                <w:rtl w:val="0"/>
              </w:rPr>
            </w:r>
          </w:p>
          <w:p w:rsidR="00000000" w:rsidDel="00000000" w:rsidP="00000000" w:rsidRDefault="00000000" w:rsidRPr="00000000" w14:paraId="00000016">
            <w:pPr>
              <w:jc w:val="both"/>
              <w:rPr>
                <w:b w:val="1"/>
                <w:sz w:val="24"/>
                <w:szCs w:val="24"/>
              </w:rPr>
            </w:pPr>
            <w:r w:rsidDel="00000000" w:rsidR="00000000" w:rsidRPr="00000000">
              <w:rPr>
                <w:rtl w:val="0"/>
              </w:rPr>
            </w:r>
          </w:p>
        </w:tc>
      </w:tr>
    </w:tbl>
    <w:p w:rsidR="00000000" w:rsidDel="00000000" w:rsidP="00000000" w:rsidRDefault="00000000" w:rsidRPr="00000000" w14:paraId="00000017">
      <w:pPr>
        <w:rPr>
          <w:b w:val="1"/>
          <w:sz w:val="24"/>
          <w:szCs w:val="24"/>
        </w:rPr>
      </w:pPr>
      <w:r w:rsidDel="00000000" w:rsidR="00000000" w:rsidRPr="00000000">
        <w:rPr>
          <w:rtl w:val="0"/>
        </w:rPr>
      </w:r>
    </w:p>
    <w:tbl>
      <w:tblPr>
        <w:tblStyle w:val="Table2"/>
        <w:tblW w:w="10456.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A0"/>
      </w:tblPr>
      <w:tblGrid>
        <w:gridCol w:w="2091"/>
        <w:gridCol w:w="2091"/>
        <w:gridCol w:w="2091"/>
        <w:gridCol w:w="2091"/>
        <w:gridCol w:w="2092"/>
        <w:tblGridChange w:id="0">
          <w:tblGrid>
            <w:gridCol w:w="2091"/>
            <w:gridCol w:w="2091"/>
            <w:gridCol w:w="2091"/>
            <w:gridCol w:w="2091"/>
            <w:gridCol w:w="2092"/>
          </w:tblGrid>
        </w:tblGridChange>
      </w:tblGrid>
      <w:tr>
        <w:tc>
          <w:tcPr>
            <w:gridSpan w:val="5"/>
            <w:vAlign w:val="center"/>
          </w:tcPr>
          <w:p w:rsidR="00000000" w:rsidDel="00000000" w:rsidP="00000000" w:rsidRDefault="00000000" w:rsidRPr="00000000" w14:paraId="00000018">
            <w:pPr>
              <w:jc w:val="center"/>
              <w:rPr>
                <w:sz w:val="32"/>
                <w:szCs w:val="32"/>
              </w:rPr>
            </w:pPr>
            <w:r w:rsidDel="00000000" w:rsidR="00000000" w:rsidRPr="00000000">
              <w:rPr>
                <w:sz w:val="32"/>
                <w:szCs w:val="32"/>
                <w:rtl w:val="0"/>
              </w:rPr>
              <w:t xml:space="preserve">Compétences pouvant être évaluées au cours de l’activité</w:t>
            </w:r>
          </w:p>
        </w:tc>
      </w:tr>
      <w:tr>
        <w:tc>
          <w:tcPr>
            <w:shd w:fill="8eaadb" w:val="clear"/>
            <w:vAlign w:val="center"/>
          </w:tcPr>
          <w:p w:rsidR="00000000" w:rsidDel="00000000" w:rsidP="00000000" w:rsidRDefault="00000000" w:rsidRPr="00000000" w14:paraId="0000001D">
            <w:pPr>
              <w:tabs>
                <w:tab w:val="right" w:pos="1875"/>
              </w:tabs>
              <w:jc w:val="center"/>
              <w:rPr>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S’approprier</w:t>
            </w:r>
          </w:p>
        </w:tc>
        <w:tc>
          <w:tcPr>
            <w:shd w:fill="8eaadb" w:val="clear"/>
            <w:vAlign w:val="center"/>
          </w:tcPr>
          <w:p w:rsidR="00000000" w:rsidDel="00000000" w:rsidP="00000000" w:rsidRDefault="00000000" w:rsidRPr="00000000" w14:paraId="0000001E">
            <w:pPr>
              <w:jc w:val="center"/>
              <w:rPr>
                <w:b w:val="1"/>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b w:val="1"/>
                <w:sz w:val="24"/>
                <w:szCs w:val="24"/>
                <w:rtl w:val="0"/>
              </w:rPr>
              <w:t xml:space="preserve"> Analyser</w:t>
            </w:r>
          </w:p>
        </w:tc>
        <w:tc>
          <w:tcPr>
            <w:shd w:fill="8eaadb" w:val="clear"/>
            <w:vAlign w:val="center"/>
          </w:tcPr>
          <w:p w:rsidR="00000000" w:rsidDel="00000000" w:rsidP="00000000" w:rsidRDefault="00000000" w:rsidRPr="00000000" w14:paraId="0000001F">
            <w:pPr>
              <w:jc w:val="center"/>
              <w:rPr>
                <w:b w:val="1"/>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b w:val="1"/>
                <w:sz w:val="24"/>
                <w:szCs w:val="24"/>
                <w:rtl w:val="0"/>
              </w:rPr>
              <w:t xml:space="preserve"> Réaliser</w:t>
            </w:r>
          </w:p>
        </w:tc>
        <w:tc>
          <w:tcPr>
            <w:shd w:fill="8eaadb" w:val="clear"/>
            <w:vAlign w:val="center"/>
          </w:tcPr>
          <w:p w:rsidR="00000000" w:rsidDel="00000000" w:rsidP="00000000" w:rsidRDefault="00000000" w:rsidRPr="00000000" w14:paraId="00000020">
            <w:pPr>
              <w:jc w:val="center"/>
              <w:rPr>
                <w:b w:val="1"/>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b w:val="1"/>
                <w:sz w:val="24"/>
                <w:szCs w:val="24"/>
                <w:rtl w:val="0"/>
              </w:rPr>
              <w:t xml:space="preserve"> Valider</w:t>
            </w:r>
          </w:p>
        </w:tc>
        <w:tc>
          <w:tcPr>
            <w:shd w:fill="8eaadb" w:val="clear"/>
            <w:vAlign w:val="center"/>
          </w:tcPr>
          <w:p w:rsidR="00000000" w:rsidDel="00000000" w:rsidP="00000000" w:rsidRDefault="00000000" w:rsidRPr="00000000" w14:paraId="00000021">
            <w:pPr>
              <w:jc w:val="center"/>
              <w:rPr>
                <w:b w:val="1"/>
                <w:sz w:val="24"/>
                <w:szCs w:val="24"/>
              </w:rPr>
            </w:pPr>
            <w:r w:rsidDel="00000000" w:rsidR="00000000" w:rsidRPr="00000000">
              <w:rPr>
                <w:rtl w:val="0"/>
              </w:rPr>
            </w:r>
          </w:p>
          <w:p w:rsidR="00000000" w:rsidDel="00000000" w:rsidP="00000000" w:rsidRDefault="00000000" w:rsidRPr="00000000" w14:paraId="00000022">
            <w:pPr>
              <w:jc w:val="center"/>
              <w:rPr>
                <w:b w:val="1"/>
                <w:sz w:val="24"/>
                <w:szCs w:val="24"/>
              </w:rPr>
            </w:pPr>
            <w:r w:rsidDel="00000000" w:rsidR="00000000" w:rsidRPr="00000000">
              <w:rPr>
                <w:rFonts w:ascii="MS Gothic" w:cs="MS Gothic" w:eastAsia="MS Gothic" w:hAnsi="MS Gothic"/>
                <w:b w:val="1"/>
                <w:sz w:val="24"/>
                <w:szCs w:val="24"/>
                <w:rtl w:val="0"/>
              </w:rPr>
              <w:t xml:space="preserve">☐</w:t>
            </w:r>
            <w:r w:rsidDel="00000000" w:rsidR="00000000" w:rsidRPr="00000000">
              <w:rPr>
                <w:b w:val="1"/>
                <w:sz w:val="24"/>
                <w:szCs w:val="24"/>
                <w:rtl w:val="0"/>
              </w:rPr>
              <w:t xml:space="preserve"> Communiquer</w:t>
            </w:r>
          </w:p>
          <w:p w:rsidR="00000000" w:rsidDel="00000000" w:rsidP="00000000" w:rsidRDefault="00000000" w:rsidRPr="00000000" w14:paraId="00000023">
            <w:pPr>
              <w:jc w:val="center"/>
              <w:rPr>
                <w:b w:val="1"/>
                <w:sz w:val="24"/>
                <w:szCs w:val="24"/>
              </w:rPr>
            </w:pPr>
            <w:r w:rsidDel="00000000" w:rsidR="00000000" w:rsidRPr="00000000">
              <w:rPr>
                <w:rtl w:val="0"/>
              </w:rPr>
            </w:r>
          </w:p>
        </w:tc>
      </w:tr>
    </w:tbl>
    <w:p w:rsidR="00000000" w:rsidDel="00000000" w:rsidP="00000000" w:rsidRDefault="00000000" w:rsidRPr="00000000" w14:paraId="00000024">
      <w:pPr>
        <w:rPr>
          <w:b w:val="1"/>
          <w:sz w:val="24"/>
          <w:szCs w:val="24"/>
        </w:rPr>
      </w:pPr>
      <w:r w:rsidDel="00000000" w:rsidR="00000000" w:rsidRPr="00000000">
        <w:rPr>
          <w:rtl w:val="0"/>
        </w:rPr>
      </w:r>
    </w:p>
    <w:tbl>
      <w:tblPr>
        <w:tblStyle w:val="Table3"/>
        <w:tblW w:w="10456.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A0"/>
      </w:tblPr>
      <w:tblGrid>
        <w:gridCol w:w="10456"/>
        <w:tblGridChange w:id="0">
          <w:tblGrid>
            <w:gridCol w:w="10456"/>
          </w:tblGrid>
        </w:tblGridChange>
      </w:tblGrid>
      <w:tr>
        <w:tc>
          <w:tcPr>
            <w:tcBorders>
              <w:top w:color="000000" w:space="0" w:sz="0" w:val="nil"/>
              <w:left w:color="000000" w:space="0" w:sz="0" w:val="nil"/>
              <w:bottom w:color="000000" w:space="0" w:sz="0" w:val="nil"/>
              <w:right w:color="000000" w:space="0" w:sz="0" w:val="nil"/>
            </w:tcBorders>
            <w:shd w:fill="8eaadb" w:val="clear"/>
          </w:tcPr>
          <w:p w:rsidR="00000000" w:rsidDel="00000000" w:rsidP="00000000" w:rsidRDefault="00000000" w:rsidRPr="00000000" w14:paraId="00000025">
            <w:pPr>
              <w:jc w:val="center"/>
              <w:rPr>
                <w:b w:val="0"/>
                <w:color w:val="000000"/>
                <w:sz w:val="6"/>
                <w:szCs w:val="6"/>
              </w:rPr>
            </w:pPr>
            <w:r w:rsidDel="00000000" w:rsidR="00000000" w:rsidRPr="00000000">
              <w:rPr>
                <w:rtl w:val="0"/>
              </w:rPr>
            </w:r>
          </w:p>
          <w:p w:rsidR="00000000" w:rsidDel="00000000" w:rsidP="00000000" w:rsidRDefault="00000000" w:rsidRPr="00000000" w14:paraId="00000026">
            <w:pPr>
              <w:shd w:fill="8eaadb" w:val="clear"/>
              <w:jc w:val="center"/>
              <w:rPr>
                <w:b w:val="0"/>
                <w:color w:val="000000"/>
                <w:sz w:val="32"/>
                <w:szCs w:val="32"/>
              </w:rPr>
            </w:pPr>
            <w:r w:rsidDel="00000000" w:rsidR="00000000" w:rsidRPr="00000000">
              <w:rPr>
                <w:color w:val="000000"/>
                <w:sz w:val="32"/>
                <w:szCs w:val="32"/>
                <w:rtl w:val="0"/>
              </w:rPr>
              <w:t xml:space="preserve">Organisation de la séance et remarques :</w:t>
            </w:r>
            <w:r w:rsidDel="00000000" w:rsidR="00000000" w:rsidRPr="00000000">
              <w:rPr>
                <w:rtl w:val="0"/>
              </w:rPr>
            </w:r>
          </w:p>
          <w:p w:rsidR="00000000" w:rsidDel="00000000" w:rsidP="00000000" w:rsidRDefault="00000000" w:rsidRPr="00000000" w14:paraId="00000027">
            <w:pPr>
              <w:jc w:val="center"/>
              <w:rPr>
                <w:color w:val="000000"/>
                <w:sz w:val="6"/>
                <w:szCs w:val="6"/>
              </w:rPr>
            </w:pPr>
            <w:r w:rsidDel="00000000" w:rsidR="00000000" w:rsidRPr="00000000">
              <w:rPr>
                <w:rtl w:val="0"/>
              </w:rPr>
            </w:r>
          </w:p>
        </w:tc>
      </w:tr>
      <w:tr>
        <w:tc>
          <w:tcPr>
            <w:shd w:fill="d9e2f3" w:val="clear"/>
          </w:tcPr>
          <w:p w:rsidR="00000000" w:rsidDel="00000000" w:rsidP="00000000" w:rsidRDefault="00000000" w:rsidRPr="00000000" w14:paraId="00000028">
            <w:pPr>
              <w:rPr>
                <w:b w:val="0"/>
              </w:rPr>
            </w:pPr>
            <w:r w:rsidDel="00000000" w:rsidR="00000000" w:rsidRPr="00000000">
              <w:rPr>
                <w:rtl w:val="0"/>
              </w:rPr>
            </w:r>
          </w:p>
          <w:p w:rsidR="00000000" w:rsidDel="00000000" w:rsidP="00000000" w:rsidRDefault="00000000" w:rsidRPr="00000000" w14:paraId="00000029">
            <w:pPr>
              <w:rPr>
                <w:b w:val="0"/>
              </w:rPr>
            </w:pPr>
            <w:r w:rsidDel="00000000" w:rsidR="00000000" w:rsidRPr="00000000">
              <w:rPr>
                <w:rtl w:val="0"/>
              </w:rPr>
            </w:r>
          </w:p>
          <w:p w:rsidR="00000000" w:rsidDel="00000000" w:rsidP="00000000" w:rsidRDefault="00000000" w:rsidRPr="00000000" w14:paraId="0000002A">
            <w:pPr>
              <w:rPr>
                <w:b w:val="0"/>
              </w:rPr>
            </w:pPr>
            <w:r w:rsidDel="00000000" w:rsidR="00000000" w:rsidRPr="00000000">
              <w:rPr>
                <w:rtl w:val="0"/>
              </w:rPr>
            </w:r>
          </w:p>
          <w:p w:rsidR="00000000" w:rsidDel="00000000" w:rsidP="00000000" w:rsidRDefault="00000000" w:rsidRPr="00000000" w14:paraId="0000002B">
            <w:pPr>
              <w:rPr>
                <w:b w:val="0"/>
              </w:rPr>
            </w:pPr>
            <w:r w:rsidDel="00000000" w:rsidR="00000000" w:rsidRPr="00000000">
              <w:rPr>
                <w:rtl w:val="0"/>
              </w:rPr>
            </w:r>
          </w:p>
          <w:p w:rsidR="00000000" w:rsidDel="00000000" w:rsidP="00000000" w:rsidRDefault="00000000" w:rsidRPr="00000000" w14:paraId="0000002C">
            <w:pPr>
              <w:rPr>
                <w:b w:val="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bf8f00" w:val="clear"/>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Chapitre 1 : L’organisation de la matière : les éléments chimiques</w:t>
      </w:r>
    </w:p>
    <w:p w:rsidR="00000000" w:rsidDel="00000000" w:rsidP="00000000" w:rsidRDefault="00000000" w:rsidRPr="00000000" w14:paraId="00000031">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bf8f00"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Activité 2 : La radioactivité</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QCM sur la vidéo « La découverte de la radioactivité » (</w:t>
      </w:r>
      <w:hyperlink r:id="rId6">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www.cea.fr</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456.000000000002"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2835"/>
        <w:gridCol w:w="2694"/>
        <w:gridCol w:w="2693"/>
        <w:gridCol w:w="142"/>
        <w:gridCol w:w="2092"/>
        <w:tblGridChange w:id="0">
          <w:tblGrid>
            <w:gridCol w:w="2835"/>
            <w:gridCol w:w="2694"/>
            <w:gridCol w:w="2693"/>
            <w:gridCol w:w="142"/>
            <w:gridCol w:w="2092"/>
          </w:tblGrid>
        </w:tblGridChange>
      </w:tblGrid>
      <w:tr>
        <w:trPr>
          <w:trHeight w:val="460" w:hRule="atLeast"/>
        </w:trPr>
        <w:tc>
          <w:tcPr>
            <w:gridSpan w:val="2"/>
            <w:tcBorders>
              <w:top w:color="000000" w:space="0" w:sz="0" w:val="nil"/>
              <w:left w:color="000000" w:space="0" w:sz="0" w:val="nil"/>
              <w:bottom w:color="000000" w:space="0" w:sz="0" w:val="nil"/>
              <w:right w:color="000000" w:space="0" w:sz="4" w:val="single"/>
            </w:tcBorders>
            <w:shd w:fill="e7e6e6" w:val="cle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 quelle année a été découverte la radioactivité ?</w:t>
            </w:r>
          </w:p>
        </w:tc>
        <w:tc>
          <w:tcPr>
            <w:gridSpan w:val="3"/>
            <w:tcBorders>
              <w:top w:color="000000" w:space="0" w:sz="0" w:val="nil"/>
              <w:left w:color="000000" w:space="0" w:sz="4" w:val="single"/>
              <w:bottom w:color="000000" w:space="0" w:sz="0" w:val="nil"/>
              <w:right w:color="000000" w:space="0" w:sz="0" w:val="nil"/>
            </w:tcBorders>
            <w:shd w:fill="e7e6e6"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Lesquels des éléments suivants sont radioactifs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896 av JC</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2026</w:t>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Les sels uraniques non phosphorescents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 sel de table</w:t>
            </w:r>
          </w:p>
        </w:tc>
      </w:tr>
      <w:tr>
        <w:trPr>
          <w:trHeight w:val="6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1896</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1796</w:t>
            </w:r>
          </w:p>
        </w:tc>
        <w:tc>
          <w:tcPr>
            <w:gridSpan w:val="2"/>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Les éléments phosphorescents non uraniques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Les sels uraniques phosphorescents</w:t>
            </w:r>
          </w:p>
        </w:tc>
      </w:tr>
      <w:tr>
        <w:trPr>
          <w:trHeight w:val="280" w:hRule="atLeast"/>
        </w:trPr>
        <w:tc>
          <w:tcPr>
            <w:gridSpan w:val="2"/>
            <w:tcBorders>
              <w:top w:color="000000" w:space="0" w:sz="0" w:val="nil"/>
              <w:left w:color="000000" w:space="0" w:sz="0" w:val="nil"/>
              <w:bottom w:color="000000" w:space="0" w:sz="0" w:val="nil"/>
              <w:right w:color="000000" w:space="0" w:sz="4" w:val="single"/>
            </w:tcBorders>
            <w:shd w:fill="e7e6e6"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Lors de la désintégration d’un élément, il y a émission : </w:t>
            </w:r>
          </w:p>
        </w:tc>
        <w:tc>
          <w:tcPr>
            <w:gridSpan w:val="3"/>
            <w:tcBorders>
              <w:top w:color="000000" w:space="0" w:sz="0" w:val="nil"/>
              <w:left w:color="000000" w:space="0" w:sz="4" w:val="single"/>
              <w:bottom w:color="000000" w:space="0" w:sz="0" w:val="nil"/>
              <w:right w:color="000000" w:space="0" w:sz="0" w:val="nil"/>
            </w:tcBorders>
            <w:shd w:fill="e7e6e6" w:val="clea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radioactivité est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rayon X</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lumière visible</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 phénomène artificiel</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Toujours dangereuse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D’onde électromagnétique</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 rayons uraniques</w:t>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 phénomène naturel</w:t>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Omniprésente </w:t>
            </w:r>
          </w:p>
        </w:tc>
      </w:tr>
    </w:tbl>
    <w:p w:rsidR="00000000" w:rsidDel="00000000" w:rsidP="00000000" w:rsidRDefault="00000000" w:rsidRPr="00000000" w14:paraId="00000053">
      <w:pPr>
        <w:rPr/>
      </w:pP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5726430</wp:posOffset>
            </wp:positionH>
            <wp:positionV relativeFrom="paragraph">
              <wp:posOffset>258921</wp:posOffset>
            </wp:positionV>
            <wp:extent cx="919480" cy="804545"/>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919480" cy="804545"/>
                    </a:xfrm>
                    <a:prstGeom prst="rect"/>
                    <a:ln/>
                  </pic:spPr>
                </pic:pic>
              </a:graphicData>
            </a:graphic>
          </wp:anchor>
        </w:drawing>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ind w:left="567" w:right="567"/>
        <w:jc w:val="both"/>
        <w:rPr/>
      </w:pPr>
      <w:r w:rsidDel="00000000" w:rsidR="00000000" w:rsidRPr="00000000">
        <w:rPr>
          <w:b w:val="1"/>
          <w:rtl w:val="0"/>
        </w:rPr>
        <w:t xml:space="preserve">La radioactivité</w:t>
      </w:r>
      <w:r w:rsidDel="00000000" w:rsidR="00000000" w:rsidRPr="00000000">
        <w:rPr>
          <w:rtl w:val="0"/>
        </w:rPr>
        <w:t xml:space="preserve"> est le phénomène physique par lequel des noyaux atomiques instables, se transforment spontanément en d'autres atomes (désintégration) en émettant simultanément des particules de matière (électrons, noyaux d'hélium, neutrons, etc.) et de l'énergie (photons et énergie cinétique). (D’après wikipédia)</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pBdr>
          <w:bottom w:color="000000" w:space="1" w:sz="4" w:val="single"/>
        </w:pBdr>
        <w:rPr>
          <w:b w:val="1"/>
        </w:rPr>
      </w:pPr>
      <w:r w:rsidDel="00000000" w:rsidR="00000000" w:rsidRPr="00000000">
        <w:rPr>
          <w:b w:val="1"/>
          <w:rtl w:val="0"/>
        </w:rPr>
        <w:t xml:space="preserve">Animation « La décroissance radioactive » (</w:t>
      </w:r>
      <w:hyperlink r:id="rId8">
        <w:r w:rsidDel="00000000" w:rsidR="00000000" w:rsidRPr="00000000">
          <w:rPr>
            <w:b w:val="1"/>
            <w:color w:val="0563c1"/>
            <w:u w:val="single"/>
            <w:rtl w:val="0"/>
          </w:rPr>
          <w:t xml:space="preserve">www.cea.fr</w:t>
        </w:r>
      </w:hyperlink>
      <w:r w:rsidDel="00000000" w:rsidR="00000000" w:rsidRPr="00000000">
        <w:rPr>
          <w:b w:val="1"/>
          <w:rtl w:val="0"/>
        </w:rPr>
        <w:t xml:space="preserve">)</w:t>
      </w:r>
      <w:r w:rsidDel="00000000" w:rsidR="00000000" w:rsidRPr="00000000">
        <w:drawing>
          <wp:anchor allowOverlap="1" behindDoc="0" distB="0" distT="0" distL="114300" distR="114300" hidden="0" layoutInCell="1" locked="0" relativeHeight="0" simplePos="0">
            <wp:simplePos x="0" y="0"/>
            <wp:positionH relativeFrom="column">
              <wp:posOffset>3632200</wp:posOffset>
            </wp:positionH>
            <wp:positionV relativeFrom="paragraph">
              <wp:posOffset>8255</wp:posOffset>
            </wp:positionV>
            <wp:extent cx="3013710" cy="196786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3013710" cy="1967865"/>
                    </a:xfrm>
                    <a:prstGeom prst="rect"/>
                    <a:ln/>
                  </pic:spPr>
                </pic:pic>
              </a:graphicData>
            </a:graphic>
          </wp:anchor>
        </w:drawing>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Ci-contre, une capture d’écran de l’animation :</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atomes en gris foncé se sont désintégrés</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atomes en gris clair ne sont pas encore désintégrés</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temps de demi-vie est noté T</w:t>
      </w:r>
      <w:r w:rsidDel="00000000" w:rsidR="00000000" w:rsidRPr="00000000">
        <w:rPr>
          <w:rFonts w:ascii="Calibri" w:cs="Calibri" w:eastAsia="Calibri" w:hAnsi="Calibri"/>
          <w:b w:val="0"/>
          <w:i w:val="0"/>
          <w:smallCaps w:val="0"/>
          <w:strike w:val="0"/>
          <w:color w:val="000000"/>
          <w:sz w:val="22"/>
          <w:szCs w:val="22"/>
          <w:u w:val="none"/>
          <w:shd w:fill="auto" w:val="clear"/>
          <w:vertAlign w:val="subscript"/>
          <w:rtl w:val="0"/>
        </w:rPr>
        <w:t xml:space="preserve">1/2 </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N(t) est le nombre d’atomes restant au bout de l’instant 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4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14"/>
        <w:gridCol w:w="2064"/>
        <w:gridCol w:w="2410"/>
        <w:gridCol w:w="3368"/>
        <w:tblGridChange w:id="0">
          <w:tblGrid>
            <w:gridCol w:w="2614"/>
            <w:gridCol w:w="2064"/>
            <w:gridCol w:w="2410"/>
            <w:gridCol w:w="3368"/>
          </w:tblGrid>
        </w:tblGridChange>
      </w:tblGrid>
      <w:tr>
        <w:tc>
          <w:tcPr>
            <w:gridSpan w:val="2"/>
            <w:tcBorders>
              <w:right w:color="000000" w:space="0" w:sz="4" w:val="single"/>
            </w:tcBorders>
            <w:shd w:fill="e7e6e6" w:val="clear"/>
          </w:tcPr>
          <w:p w:rsidR="00000000" w:rsidDel="00000000" w:rsidP="00000000" w:rsidRDefault="00000000" w:rsidRPr="00000000" w14:paraId="0000005F">
            <w:pPr>
              <w:rPr>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 La radioactivité d’un élément est :</w:t>
            </w:r>
          </w:p>
        </w:tc>
        <w:tc>
          <w:tcPr>
            <w:gridSpan w:val="2"/>
            <w:tcBorders>
              <w:left w:color="000000" w:space="0" w:sz="4" w:val="single"/>
            </w:tcBorders>
            <w:shd w:fill="e7e6e6" w:val="clear"/>
          </w:tcPr>
          <w:p w:rsidR="00000000" w:rsidDel="00000000" w:rsidP="00000000" w:rsidRDefault="00000000" w:rsidRPr="00000000" w14:paraId="00000061">
            <w:pPr>
              <w:rPr>
                <w:sz w:val="20"/>
                <w:szCs w:val="20"/>
              </w:rPr>
            </w:pPr>
            <w:r w:rsidDel="00000000" w:rsidR="00000000" w:rsidRPr="00000000">
              <w:rPr>
                <w:b w:val="1"/>
                <w:sz w:val="20"/>
                <w:szCs w:val="20"/>
                <w:rtl w:val="0"/>
              </w:rPr>
              <w:t xml:space="preserve">2.</w:t>
            </w:r>
            <w:r w:rsidDel="00000000" w:rsidR="00000000" w:rsidRPr="00000000">
              <w:rPr>
                <w:sz w:val="20"/>
                <w:szCs w:val="20"/>
                <w:rtl w:val="0"/>
              </w:rPr>
              <w:t xml:space="preserve"> Le temps de demi vie est :</w:t>
            </w:r>
          </w:p>
        </w:tc>
      </w:tr>
      <w:tr>
        <w:tc>
          <w:tcPr/>
          <w:p w:rsidR="00000000" w:rsidDel="00000000" w:rsidP="00000000" w:rsidRDefault="00000000" w:rsidRPr="00000000" w14:paraId="00000063">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Spontanée</w:t>
            </w:r>
          </w:p>
        </w:tc>
        <w:tc>
          <w:tcPr>
            <w:tcBorders>
              <w:right w:color="000000" w:space="0" w:sz="4" w:val="single"/>
            </w:tcBorders>
          </w:tcPr>
          <w:p w:rsidR="00000000" w:rsidDel="00000000" w:rsidP="00000000" w:rsidRDefault="00000000" w:rsidRPr="00000000" w14:paraId="00000064">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Lente </w:t>
            </w:r>
          </w:p>
        </w:tc>
        <w:tc>
          <w:tcPr>
            <w:tcBorders>
              <w:left w:color="000000" w:space="0" w:sz="4" w:val="single"/>
            </w:tcBorders>
          </w:tcPr>
          <w:p w:rsidR="00000000" w:rsidDel="00000000" w:rsidP="00000000" w:rsidRDefault="00000000" w:rsidRPr="00000000" w14:paraId="00000065">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La moitié de la durée de vie d’un élément</w:t>
            </w:r>
          </w:p>
        </w:tc>
        <w:tc>
          <w:tcPr/>
          <w:p w:rsidR="00000000" w:rsidDel="00000000" w:rsidP="00000000" w:rsidRDefault="00000000" w:rsidRPr="00000000" w14:paraId="00000066">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De 1600 ans</w:t>
            </w:r>
          </w:p>
        </w:tc>
      </w:tr>
      <w:tr>
        <w:tc>
          <w:tcPr/>
          <w:p w:rsidR="00000000" w:rsidDel="00000000" w:rsidP="00000000" w:rsidRDefault="00000000" w:rsidRPr="00000000" w14:paraId="00000067">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Imprévisible </w:t>
            </w:r>
          </w:p>
        </w:tc>
        <w:tc>
          <w:tcPr>
            <w:tcBorders>
              <w:right w:color="000000" w:space="0" w:sz="4" w:val="single"/>
            </w:tcBorders>
          </w:tcPr>
          <w:p w:rsidR="00000000" w:rsidDel="00000000" w:rsidP="00000000" w:rsidRDefault="00000000" w:rsidRPr="00000000" w14:paraId="00000068">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Rapide </w:t>
            </w:r>
          </w:p>
        </w:tc>
        <w:tc>
          <w:tcPr>
            <w:tcBorders>
              <w:left w:color="000000" w:space="0" w:sz="4" w:val="single"/>
            </w:tcBorders>
          </w:tcPr>
          <w:p w:rsidR="00000000" w:rsidDel="00000000" w:rsidP="00000000" w:rsidRDefault="00000000" w:rsidRPr="00000000" w14:paraId="00000069">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De 1600 ans pour l’élément Radium 226</w:t>
            </w:r>
          </w:p>
        </w:tc>
        <w:tc>
          <w:tcPr/>
          <w:p w:rsidR="00000000" w:rsidDel="00000000" w:rsidP="00000000" w:rsidRDefault="00000000" w:rsidRPr="00000000" w14:paraId="0000006A">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La durée nécessaire pour que la moitié des noyaux initialement présent se soit désintégrée</w:t>
            </w:r>
          </w:p>
        </w:tc>
      </w:tr>
      <w:tr>
        <w:tc>
          <w:tcPr>
            <w:gridSpan w:val="2"/>
            <w:tcBorders>
              <w:right w:color="000000" w:space="0" w:sz="4" w:val="single"/>
            </w:tcBorders>
            <w:shd w:fill="e7e6e6" w:val="clear"/>
          </w:tcPr>
          <w:p w:rsidR="00000000" w:rsidDel="00000000" w:rsidP="00000000" w:rsidRDefault="00000000" w:rsidRPr="00000000" w14:paraId="0000006B">
            <w:pPr>
              <w:jc w:val="both"/>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 Sachant qu’initialement, un échantillon contient      10 000 atomes de carbone 14, au bout de combien de temps en restera-t-il seulement 2500 ?</w:t>
            </w:r>
          </w:p>
        </w:tc>
        <w:tc>
          <w:tcPr>
            <w:gridSpan w:val="2"/>
            <w:tcBorders>
              <w:left w:color="000000" w:space="0" w:sz="4" w:val="single"/>
            </w:tcBorders>
            <w:shd w:fill="e7e6e6" w:val="clear"/>
          </w:tcPr>
          <w:p w:rsidR="00000000" w:rsidDel="00000000" w:rsidP="00000000" w:rsidRDefault="00000000" w:rsidRPr="00000000" w14:paraId="0000006D">
            <w:pPr>
              <w:rPr>
                <w:sz w:val="20"/>
                <w:szCs w:val="20"/>
              </w:rPr>
            </w:pPr>
            <w:r w:rsidDel="00000000" w:rsidR="00000000" w:rsidRPr="00000000">
              <w:rPr>
                <w:b w:val="1"/>
                <w:sz w:val="20"/>
                <w:szCs w:val="20"/>
                <w:rtl w:val="0"/>
              </w:rPr>
              <w:t xml:space="preserve">4.</w:t>
            </w:r>
            <w:r w:rsidDel="00000000" w:rsidR="00000000" w:rsidRPr="00000000">
              <w:rPr>
                <w:sz w:val="20"/>
                <w:szCs w:val="20"/>
                <w:rtl w:val="0"/>
              </w:rPr>
              <w:t xml:space="preserve"> Quelle proportion de plutonium reste-t-il au bout de 96 000 ans ?</w:t>
            </w:r>
          </w:p>
        </w:tc>
      </w:tr>
      <w:tr>
        <w:tc>
          <w:tcPr/>
          <w:p w:rsidR="00000000" w:rsidDel="00000000" w:rsidP="00000000" w:rsidRDefault="00000000" w:rsidRPr="00000000" w14:paraId="0000006F">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1481 ans</w:t>
            </w:r>
          </w:p>
        </w:tc>
        <w:tc>
          <w:tcPr>
            <w:tcBorders>
              <w:right w:color="000000" w:space="0" w:sz="4" w:val="single"/>
            </w:tcBorders>
          </w:tcPr>
          <w:p w:rsidR="00000000" w:rsidDel="00000000" w:rsidP="00000000" w:rsidRDefault="00000000" w:rsidRPr="00000000" w14:paraId="00000070">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2865 ans</w:t>
            </w:r>
          </w:p>
        </w:tc>
        <w:tc>
          <w:tcPr>
            <w:tcBorders>
              <w:left w:color="000000" w:space="0" w:sz="4" w:val="single"/>
            </w:tcBorders>
          </w:tcPr>
          <w:p w:rsidR="00000000" w:rsidDel="00000000" w:rsidP="00000000" w:rsidRDefault="00000000" w:rsidRPr="00000000" w14:paraId="00000071">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100%</w:t>
            </w:r>
          </w:p>
        </w:tc>
        <w:tc>
          <w:tcPr/>
          <w:p w:rsidR="00000000" w:rsidDel="00000000" w:rsidP="00000000" w:rsidRDefault="00000000" w:rsidRPr="00000000" w14:paraId="00000072">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80 %</w:t>
            </w:r>
          </w:p>
        </w:tc>
      </w:tr>
      <w:tr>
        <w:tc>
          <w:tcPr/>
          <w:p w:rsidR="00000000" w:rsidDel="00000000" w:rsidP="00000000" w:rsidRDefault="00000000" w:rsidRPr="00000000" w14:paraId="00000073">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5730 ans</w:t>
            </w:r>
          </w:p>
        </w:tc>
        <w:tc>
          <w:tcPr>
            <w:tcBorders>
              <w:right w:color="000000" w:space="0" w:sz="4" w:val="single"/>
            </w:tcBorders>
          </w:tcPr>
          <w:p w:rsidR="00000000" w:rsidDel="00000000" w:rsidP="00000000" w:rsidRDefault="00000000" w:rsidRPr="00000000" w14:paraId="00000074">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11 460 ans</w:t>
            </w:r>
          </w:p>
        </w:tc>
        <w:tc>
          <w:tcPr>
            <w:tcBorders>
              <w:left w:color="000000" w:space="0" w:sz="4" w:val="single"/>
            </w:tcBorders>
          </w:tcPr>
          <w:p w:rsidR="00000000" w:rsidDel="00000000" w:rsidP="00000000" w:rsidRDefault="00000000" w:rsidRPr="00000000" w14:paraId="00000075">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6 %</w:t>
            </w:r>
          </w:p>
        </w:tc>
        <w:tc>
          <w:tcPr/>
          <w:p w:rsidR="00000000" w:rsidDel="00000000" w:rsidP="00000000" w:rsidRDefault="00000000" w:rsidRPr="00000000" w14:paraId="00000076">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 1 %</w:t>
            </w:r>
          </w:p>
        </w:tc>
      </w:tr>
    </w:tbl>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Application : traitement des déchets radioactifs d’une centrale nucléaire (D’après un sujet de bac)</w:t>
      </w:r>
    </w:p>
    <w:p w:rsidR="00000000" w:rsidDel="00000000" w:rsidP="00000000" w:rsidRDefault="00000000" w:rsidRPr="00000000" w14:paraId="0000007A">
      <w:pPr>
        <w:rPr/>
      </w:pPr>
      <w:r w:rsidDel="00000000" w:rsidR="00000000" w:rsidRPr="00000000">
        <w:rPr>
          <w:rtl w:val="0"/>
        </w:rPr>
      </w:r>
    </w:p>
    <w:tbl>
      <w:tblPr>
        <w:tblStyle w:val="Table6"/>
        <w:tblW w:w="10490.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0490"/>
        <w:tblGridChange w:id="0">
          <w:tblGrid>
            <w:gridCol w:w="1049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jc w:val="both"/>
              <w:rPr>
                <w:b w:val="1"/>
              </w:rPr>
            </w:pPr>
            <w:r w:rsidDel="00000000" w:rsidR="00000000" w:rsidRPr="00000000">
              <w:rPr>
                <w:b w:val="1"/>
                <w:rtl w:val="0"/>
              </w:rPr>
              <w:t xml:space="preserve">Document 1 : Les centrales électriques</w:t>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t xml:space="preserve">Une centrale électrique est une usine qui produit de l’énergie électrique. Il en existe plusieurs sortes : des centrales thermiques à combustibles fossiles, les centrales thermiques à combustibles nucléaires, les centrales hydrauliques.... Toutes sont basées sur le même principe : faire tourner une turbine couplée à un alternateur qui fabrique de l’électricité.</w:t>
            </w:r>
          </w:p>
          <w:p w:rsidR="00000000" w:rsidDel="00000000" w:rsidP="00000000" w:rsidRDefault="00000000" w:rsidRPr="00000000" w14:paraId="0000007D">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r>
          </w:p>
          <w:p w:rsidR="00000000" w:rsidDel="00000000" w:rsidP="00000000" w:rsidRDefault="00000000" w:rsidRPr="00000000" w14:paraId="0000007E">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t xml:space="preserve">La différence de fonctionnement se situe au niveau de la production d’énergie mécanique lors de l’entraînement de la turbine. Dans les centrales hydrauliques, l’eau des barrages actionne la turbine. Dans les centrales thermiques classiques, un combustible fossile est brûlé pour transformer de l’eau en vapeur, produisant de l’énergie thermique pour entraîner la turbine. Dans les centrales thermiques nucléaires, les noyaux d’uranium remplacent le combustible fossile. En se scindant, ces gros noyaux libèrent de l’énergie nucléaire, qui sera utilisée pour produire de la vapeur d’eau laquelle peut activer la turbine.</w:t>
            </w:r>
          </w:p>
          <w:p w:rsidR="00000000" w:rsidDel="00000000" w:rsidP="00000000" w:rsidRDefault="00000000" w:rsidRPr="00000000" w14:paraId="0000007F">
            <w:pPr>
              <w:pBdr>
                <w:top w:color="000000" w:space="1" w:sz="4" w:val="single"/>
                <w:left w:color="000000" w:space="4" w:sz="4" w:val="single"/>
                <w:bottom w:color="000000" w:space="1" w:sz="4" w:val="single"/>
                <w:right w:color="000000" w:space="4" w:sz="4" w:val="single"/>
              </w:pBdr>
              <w:jc w:val="both"/>
              <w:rPr/>
            </w:pPr>
            <w:r w:rsidDel="00000000" w:rsidR="00000000" w:rsidRPr="00000000">
              <w:rPr>
                <w:rtl w:val="0"/>
              </w:rPr>
              <w:t xml:space="preserve">Une des réactions nucléaires se déroulant dans le réacteur est la suivante : </w:t>
            </w:r>
          </w:p>
          <w:p w:rsidR="00000000" w:rsidDel="00000000" w:rsidP="00000000" w:rsidRDefault="00000000" w:rsidRPr="00000000" w14:paraId="00000080">
            <w:pPr>
              <w:jc w:val="center"/>
              <w:rPr>
                <w:rFonts w:ascii="Cambria Math" w:cs="Cambria Math" w:eastAsia="Cambria Math" w:hAnsi="Cambria Math"/>
              </w:rPr>
            </w:pPr>
            <m:oMath>
              <m:r>
                <w:rPr>
                  <w:rFonts w:ascii="Cambria Math" w:cs="Cambria Math" w:eastAsia="Cambria Math" w:hAnsi="Cambria Math"/>
                </w:rPr>
                <m:t xml:space="preserve">92235U+ 01n→ 3894Sr+ 54140Xe+ 2 01n</m:t>
              </m:r>
            </m:oMath>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tc>
      </w:tr>
      <w:tr>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 2 : Les applications de la radioactivité, quels déchets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Toute activité humaine produit des déchets. L'utilisation des propriétés de la radioactivité dans de nombreux secteurs engendre chaque année des déchets radioactifs. Ces déchets émettent de la radioactivité et présentent des risques pour l'homme et l'environnement. Ces déchets proviennent pour l'essentiel des centrales nucléaires, des usines de traitement des combustibles usés ainsi que des autres installations nucléaires civiles et militaires qui se sont développées au cours des dernières décennies. On compte également plus de 1000 petits producteurs qui contribuent aussi, à un degré moindre, à la production de déchets radioactifs : laboratoires de recherche, hôpitaux, industries... Les déchets radioactifs sont variés. Leurs caractéristiques diffèrent d'un déchet à l'autre : nature physique et chimique, niveau et type de radioactivité, durée de vie …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jc w:val="center"/>
              <w:rPr>
                <w:u w:val="single"/>
              </w:rPr>
            </w:pPr>
            <w:r w:rsidDel="00000000" w:rsidR="00000000" w:rsidRPr="00000000">
              <w:rPr>
                <w:u w:val="single"/>
                <w:rtl w:val="0"/>
              </w:rPr>
              <w:t xml:space="preserve">Demi-vie de quelques déchets radioactifs</w:t>
            </w:r>
          </w:p>
          <w:tbl>
            <w:tblPr>
              <w:tblStyle w:val="Table7"/>
              <w:tblW w:w="7841.999999999999" w:type="dxa"/>
              <w:jc w:val="center"/>
              <w:tblBorders>
                <w:top w:color="000000" w:space="0" w:sz="0" w:val="nil"/>
                <w:left w:color="000000" w:space="0" w:sz="0" w:val="nil"/>
                <w:bottom w:color="000000" w:space="0" w:sz="0" w:val="nil"/>
                <w:right w:color="000000" w:space="0" w:sz="0" w:val="nil"/>
                <w:insideH w:color="666666" w:space="0" w:sz="4" w:val="single"/>
                <w:insideV w:color="666666" w:space="0" w:sz="4" w:val="single"/>
              </w:tblBorders>
              <w:tblLayout w:type="fixed"/>
              <w:tblLook w:val="0400"/>
            </w:tblPr>
            <w:tblGrid>
              <w:gridCol w:w="2614"/>
              <w:gridCol w:w="2614"/>
              <w:gridCol w:w="2614"/>
              <w:tblGridChange w:id="0">
                <w:tblGrid>
                  <w:gridCol w:w="2614"/>
                  <w:gridCol w:w="2614"/>
                  <w:gridCol w:w="2614"/>
                </w:tblGrid>
              </w:tblGridChange>
            </w:tblGrid>
            <w:tr>
              <w:tc>
                <w:tcPr/>
                <w:p w:rsidR="00000000" w:rsidDel="00000000" w:rsidP="00000000" w:rsidRDefault="00000000" w:rsidRPr="00000000" w14:paraId="00000086">
                  <w:pPr>
                    <w:jc w:val="center"/>
                    <w:rPr/>
                  </w:pPr>
                  <w:r w:rsidDel="00000000" w:rsidR="00000000" w:rsidRPr="00000000">
                    <w:rPr>
                      <w:rtl w:val="0"/>
                    </w:rPr>
                    <w:t xml:space="preserve">Strontium 94 :</w:t>
                  </w:r>
                </w:p>
                <w:p w:rsidR="00000000" w:rsidDel="00000000" w:rsidP="00000000" w:rsidRDefault="00000000" w:rsidRPr="00000000" w14:paraId="00000087">
                  <w:pPr>
                    <w:jc w:val="center"/>
                    <w:rPr/>
                  </w:pPr>
                  <w:r w:rsidDel="00000000" w:rsidR="00000000" w:rsidRPr="00000000">
                    <w:rPr>
                      <w:rtl w:val="0"/>
                    </w:rPr>
                    <w:t xml:space="preserve">??</w:t>
                  </w:r>
                </w:p>
              </w:tc>
              <w:tc>
                <w:tcPr>
                  <w:shd w:fill="e7e6e6" w:val="clear"/>
                </w:tcPr>
                <w:p w:rsidR="00000000" w:rsidDel="00000000" w:rsidP="00000000" w:rsidRDefault="00000000" w:rsidRPr="00000000" w14:paraId="00000088">
                  <w:pPr>
                    <w:jc w:val="center"/>
                    <w:rPr/>
                  </w:pPr>
                  <w:r w:rsidDel="00000000" w:rsidR="00000000" w:rsidRPr="00000000">
                    <w:rPr>
                      <w:rtl w:val="0"/>
                    </w:rPr>
                    <w:t xml:space="preserve">Cobalt 60 :</w:t>
                  </w:r>
                </w:p>
                <w:p w:rsidR="00000000" w:rsidDel="00000000" w:rsidP="00000000" w:rsidRDefault="00000000" w:rsidRPr="00000000" w14:paraId="00000089">
                  <w:pPr>
                    <w:jc w:val="center"/>
                    <w:rPr/>
                  </w:pPr>
                  <w:r w:rsidDel="00000000" w:rsidR="00000000" w:rsidRPr="00000000">
                    <w:rPr>
                      <w:rtl w:val="0"/>
                    </w:rPr>
                    <w:t xml:space="preserve">5,2 ans</w:t>
                  </w:r>
                </w:p>
              </w:tc>
              <w:tc>
                <w:tcPr/>
                <w:p w:rsidR="00000000" w:rsidDel="00000000" w:rsidP="00000000" w:rsidRDefault="00000000" w:rsidRPr="00000000" w14:paraId="0000008A">
                  <w:pPr>
                    <w:jc w:val="center"/>
                    <w:rPr/>
                  </w:pPr>
                  <w:r w:rsidDel="00000000" w:rsidR="00000000" w:rsidRPr="00000000">
                    <w:rPr>
                      <w:rtl w:val="0"/>
                    </w:rPr>
                    <w:t xml:space="preserve">Américium 241 :</w:t>
                  </w:r>
                </w:p>
                <w:p w:rsidR="00000000" w:rsidDel="00000000" w:rsidP="00000000" w:rsidRDefault="00000000" w:rsidRPr="00000000" w14:paraId="0000008B">
                  <w:pPr>
                    <w:jc w:val="center"/>
                    <w:rPr/>
                  </w:pPr>
                  <w:r w:rsidDel="00000000" w:rsidR="00000000" w:rsidRPr="00000000">
                    <w:rPr>
                      <w:rtl w:val="0"/>
                    </w:rPr>
                    <w:t xml:space="preserve">432 ans</w:t>
                  </w:r>
                </w:p>
              </w:tc>
            </w:tr>
            <w:tr>
              <w:tc>
                <w:tcPr>
                  <w:shd w:fill="e7e6e6" w:val="clear"/>
                </w:tcPr>
                <w:p w:rsidR="00000000" w:rsidDel="00000000" w:rsidP="00000000" w:rsidRDefault="00000000" w:rsidRPr="00000000" w14:paraId="0000008C">
                  <w:pPr>
                    <w:jc w:val="center"/>
                    <w:rPr/>
                  </w:pPr>
                  <w:r w:rsidDel="00000000" w:rsidR="00000000" w:rsidRPr="00000000">
                    <w:rPr>
                      <w:rtl w:val="0"/>
                    </w:rPr>
                    <w:t xml:space="preserve">Radium 226 :</w:t>
                  </w:r>
                </w:p>
                <w:p w:rsidR="00000000" w:rsidDel="00000000" w:rsidP="00000000" w:rsidRDefault="00000000" w:rsidRPr="00000000" w14:paraId="0000008D">
                  <w:pPr>
                    <w:jc w:val="center"/>
                    <w:rPr/>
                  </w:pPr>
                  <w:r w:rsidDel="00000000" w:rsidR="00000000" w:rsidRPr="00000000">
                    <w:rPr>
                      <w:rtl w:val="0"/>
                    </w:rPr>
                    <w:t xml:space="preserve">1600 ans</w:t>
                  </w:r>
                </w:p>
              </w:tc>
              <w:tc>
                <w:tcPr/>
                <w:p w:rsidR="00000000" w:rsidDel="00000000" w:rsidP="00000000" w:rsidRDefault="00000000" w:rsidRPr="00000000" w14:paraId="0000008E">
                  <w:pPr>
                    <w:jc w:val="center"/>
                    <w:rPr/>
                  </w:pPr>
                  <w:r w:rsidDel="00000000" w:rsidR="00000000" w:rsidRPr="00000000">
                    <w:rPr>
                      <w:rtl w:val="0"/>
                    </w:rPr>
                    <w:t xml:space="preserve">Plutonium 239 :</w:t>
                  </w:r>
                </w:p>
                <w:p w:rsidR="00000000" w:rsidDel="00000000" w:rsidP="00000000" w:rsidRDefault="00000000" w:rsidRPr="00000000" w14:paraId="0000008F">
                  <w:pPr>
                    <w:jc w:val="center"/>
                    <w:rPr/>
                  </w:pPr>
                  <w:r w:rsidDel="00000000" w:rsidR="00000000" w:rsidRPr="00000000">
                    <w:rPr>
                      <w:rtl w:val="0"/>
                    </w:rPr>
                    <w:t xml:space="preserve">24 110 ans</w:t>
                  </w:r>
                </w:p>
              </w:tc>
              <w:tc>
                <w:tcPr>
                  <w:shd w:fill="e7e6e6" w:val="clear"/>
                </w:tcPr>
                <w:p w:rsidR="00000000" w:rsidDel="00000000" w:rsidP="00000000" w:rsidRDefault="00000000" w:rsidRPr="00000000" w14:paraId="00000090">
                  <w:pPr>
                    <w:jc w:val="center"/>
                    <w:rPr/>
                  </w:pPr>
                  <w:r w:rsidDel="00000000" w:rsidR="00000000" w:rsidRPr="00000000">
                    <w:rPr>
                      <w:rtl w:val="0"/>
                    </w:rPr>
                    <w:t xml:space="preserve">Neptunium 237 : 2 140 000 ans</w:t>
                  </w:r>
                </w:p>
              </w:tc>
            </w:tr>
          </w:tb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r>
          </w:p>
        </w:tc>
      </w:tr>
    </w:tbl>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0456.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0456"/>
        <w:tblGridChange w:id="0">
          <w:tblGrid>
            <w:gridCol w:w="10456"/>
          </w:tblGrid>
        </w:tblGridChange>
      </w:tblGrid>
      <w:tr>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 3 : Stockage des déchets et décroissance radioactive</w:t>
            </w:r>
            <w:r w:rsidDel="00000000" w:rsidR="00000000" w:rsidRPr="00000000">
              <w:drawing>
                <wp:anchor allowOverlap="1" behindDoc="0" distB="0" distT="0" distL="114300" distR="114300" hidden="0" layoutInCell="1" locked="0" relativeHeight="0" simplePos="0">
                  <wp:simplePos x="0" y="0"/>
                  <wp:positionH relativeFrom="column">
                    <wp:posOffset>2428875</wp:posOffset>
                  </wp:positionH>
                  <wp:positionV relativeFrom="paragraph">
                    <wp:posOffset>19685</wp:posOffset>
                  </wp:positionV>
                  <wp:extent cx="4217035" cy="255333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217035" cy="2553335"/>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4191000</wp:posOffset>
                      </wp:positionH>
                      <wp:positionV relativeFrom="paragraph">
                        <wp:posOffset>172720</wp:posOffset>
                      </wp:positionV>
                      <wp:extent cx="2211070" cy="465455"/>
                      <wp:effectExtent b="0" l="0" r="0" t="0"/>
                      <wp:wrapSquare wrapText="bothSides" distB="45720" distT="45720" distL="114300" distR="114300"/>
                      <wp:docPr id="1" name=""/>
                      <a:graphic>
                        <a:graphicData uri="http://schemas.microsoft.com/office/word/2010/wordprocessingShape">
                          <wps:wsp>
                            <wps:cNvSpPr/>
                            <wps:cNvPr id="2" name="Shape 2"/>
                            <wps:spPr>
                              <a:xfrm>
                                <a:off x="4245228" y="3552035"/>
                                <a:ext cx="2201545" cy="45593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Suivi du nombre de noyaux de Strontium 94 en fonction du temps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4191000</wp:posOffset>
                      </wp:positionH>
                      <wp:positionV relativeFrom="paragraph">
                        <wp:posOffset>172720</wp:posOffset>
                      </wp:positionV>
                      <wp:extent cx="2211070" cy="465455"/>
                      <wp:effectExtent b="0" l="0" r="0" t="0"/>
                      <wp:wrapSquare wrapText="bothSides" distB="45720" distT="45720" distL="114300" distR="114300"/>
                      <wp:docPr id="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211070" cy="465455"/>
                              </a:xfrm>
                              <a:prstGeom prst="rect"/>
                              <a:ln/>
                            </pic:spPr>
                          </pic:pic>
                        </a:graphicData>
                      </a:graphic>
                    </wp:anchor>
                  </w:drawing>
                </mc:Fallback>
              </mc:AlternateConten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nos jours, le recyclage des déchets radioactifs est une problématique récurrente. Actuellement, les déchets sont stockés dans des endroits sécurisés pendant toute leur durée de rayonnement. Suivant les éléments, le mode de stockage peut différer : bidon métallique, enceinte en béton, enfouissement en terre …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nombre d’atomes radioactifs présent dans un échantillon de matière décroit de façon exponentielle (cf courbe ci-contre)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Questions : </w:t>
      </w:r>
    </w:p>
    <w:p w:rsidR="00000000" w:rsidDel="00000000" w:rsidP="00000000" w:rsidRDefault="00000000" w:rsidRPr="00000000" w14:paraId="0000009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D’après la réaction nucléaire donnée dans le document 1, citer 2 déchets nucléaires. En existe-t-il d’autres ?</w:t>
      </w:r>
    </w:p>
    <w:p w:rsidR="00000000" w:rsidDel="00000000" w:rsidP="00000000" w:rsidRDefault="00000000" w:rsidRPr="00000000" w14:paraId="0000009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 évolue le nombre d’éléments radioactifs présent dans un échantillon au cours du temps ?</w:t>
      </w:r>
    </w:p>
    <w:p w:rsidR="00000000" w:rsidDel="00000000" w:rsidP="00000000" w:rsidRDefault="00000000" w:rsidRPr="00000000" w14:paraId="0000009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Déterminer le temps de demi-vie du Strontium 94.</w:t>
      </w:r>
    </w:p>
    <w:p w:rsidR="00000000" w:rsidDel="00000000" w:rsidP="00000000" w:rsidRDefault="00000000" w:rsidRPr="00000000" w14:paraId="0000009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 échantillon de matière contient un million d’atomes de Strontium 94. Combien en restera-t-il au bout de 3 demi-vies ? Vérifier graphiquement le résultat.</w:t>
      </w:r>
    </w:p>
    <w:p w:rsidR="00000000" w:rsidDel="00000000" w:rsidP="00000000" w:rsidRDefault="00000000" w:rsidRPr="00000000" w14:paraId="0000009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étudie un échantillon de matière contenant du strontium</w:t>
      </w:r>
    </w:p>
    <w:p w:rsidR="00000000" w:rsidDel="00000000" w:rsidP="00000000" w:rsidRDefault="00000000" w:rsidRPr="00000000" w14:paraId="0000009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94"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Combien de temps faudra-t-il attendre pour que 80 % des atomes de Strontium 94 se soient désintégrés ?</w:t>
      </w:r>
    </w:p>
    <w:p w:rsidR="00000000" w:rsidDel="00000000" w:rsidP="00000000" w:rsidRDefault="00000000" w:rsidRPr="00000000" w14:paraId="000000A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94"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 nombre d’atomes de Strontium 94 sera-t-il nul un jour ?</w:t>
      </w:r>
    </w:p>
    <w:p w:rsidR="00000000" w:rsidDel="00000000" w:rsidP="00000000" w:rsidRDefault="00000000" w:rsidRPr="00000000" w14:paraId="000000A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bookmarkStart w:colFirst="0" w:colLast="0" w:name="_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 peut-on dire de la durée de vie de certains déchets radioactifs ?</w:t>
      </w:r>
    </w:p>
    <w:p w:rsidR="00000000" w:rsidDel="00000000" w:rsidP="00000000" w:rsidRDefault="00000000" w:rsidRPr="00000000" w14:paraId="000000A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Citer au moins deux difficultés auxquelles fait face l’humanité concernant le stockage des déchets radioactifs.</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Noto Sans Symbols"/>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0"/>
      <w:numFmt w:val="bullet"/>
      <w:lvlText w:val="-"/>
      <w:lvlJc w:val="left"/>
      <w:pPr>
        <w:ind w:left="1065" w:hanging="360"/>
      </w:pPr>
      <w:rPr>
        <w:rFonts w:ascii="Calibri" w:cs="Calibri" w:eastAsia="Calibri" w:hAnsi="Calibri"/>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94" w:hanging="360"/>
      </w:pPr>
      <w:rPr>
        <w:b w:val="1"/>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top w:color="000000" w:space="0" w:sz="0" w:val="nil"/>
          <w:bottom w:color="666666"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666666" w:space="0" w:sz="4" w:val="single"/>
          <w:bottom w:color="000000" w:space="0" w:sz="0" w:val="nil"/>
          <w:insideH w:color="000000" w:space="0" w:sz="0" w:val="nil"/>
          <w:insideV w:color="000000" w:space="0" w:sz="0" w:val="nil"/>
        </w:tcBorders>
        <w:shd w:fill="ffffff" w:val="clear"/>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rPr>
      <w:tcPr>
        <w:tcBorders>
          <w:top w:color="000000" w:space="0" w:sz="0" w:val="nil"/>
          <w:bottom w:color="666666" w:space="0" w:sz="12" w:val="single"/>
          <w:insideH w:color="000000" w:space="0" w:sz="0" w:val="nil"/>
          <w:insideV w:color="000000" w:space="0" w:sz="0" w:val="nil"/>
        </w:tcBorders>
        <w:shd w:fill="ffffff" w:val="clear"/>
      </w:tcPr>
    </w:tblStylePr>
    <w:tblStylePr w:type="lastCol">
      <w:rPr>
        <w:b w:val="1"/>
      </w:rPr>
    </w:tblStylePr>
    <w:tblStylePr w:type="lastRow">
      <w:rPr>
        <w:b w:val="1"/>
      </w:rPr>
      <w:tcPr>
        <w:tcBorders>
          <w:top w:color="666666" w:space="0" w:sz="4" w:val="single"/>
          <w:bottom w:color="000000" w:space="0" w:sz="0" w:val="nil"/>
          <w:insideH w:color="000000" w:space="0" w:sz="0" w:val="nil"/>
          <w:insideV w:color="000000" w:space="0" w:sz="0" w:val="nil"/>
        </w:tcBorders>
        <w:shd w:fill="ffffff" w:val="clear"/>
      </w:tcPr>
    </w:tblStyle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cccccc" w:val="clear"/>
      </w:tcPr>
    </w:tblStylePr>
    <w:tblStylePr w:type="band1Vert">
      <w:tcPr>
        <w:shd w:fill="cccccc" w:val="clear"/>
      </w:tcPr>
    </w:tblStylePr>
    <w:tblStylePr w:type="firstCol">
      <w:rPr>
        <w:b w:val="1"/>
      </w:rPr>
    </w:tblStylePr>
    <w:tblStylePr w:type="firstRow">
      <w:rPr>
        <w:b w:val="1"/>
        <w:color w:val="ffffff"/>
      </w:rPr>
      <w:tcPr>
        <w:tcBorders>
          <w:top w:color="000000" w:space="0" w:sz="4" w:val="single"/>
          <w:left w:color="000000" w:space="0" w:sz="4" w:val="single"/>
          <w:bottom w:color="000000" w:space="0" w:sz="4" w:val="single"/>
          <w:right w:color="000000" w:space="0" w:sz="4" w:val="single"/>
          <w:insideH w:color="000000" w:space="0" w:sz="0" w:val="nil"/>
          <w:insideV w:color="000000" w:space="0" w:sz="0" w:val="nil"/>
        </w:tcBorders>
        <w:shd w:fill="000000" w:val="clear"/>
      </w:tcPr>
    </w:tblStylePr>
    <w:tblStylePr w:type="lastCol">
      <w:rPr>
        <w:b w:val="1"/>
      </w:rPr>
    </w:tblStylePr>
    <w:tblStylePr w:type="lastRow">
      <w:rPr>
        <w:b w:val="1"/>
      </w:rPr>
      <w:tcPr>
        <w:tcBorders>
          <w:top w:color="000000"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1.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www.cea.fr" TargetMode="External"/><Relationship Id="rId7" Type="http://schemas.openxmlformats.org/officeDocument/2006/relationships/image" Target="media/image3.png"/><Relationship Id="rId8" Type="http://schemas.openxmlformats.org/officeDocument/2006/relationships/hyperlink" Target="http://www.cea.f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