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0FC96" w14:textId="77777777" w:rsidR="00C10673" w:rsidRDefault="00000000">
      <w:pPr>
        <w:ind w:left="142"/>
        <w:jc w:val="center"/>
        <w:rPr>
          <w:rFonts w:ascii="Cambria" w:hAnsi="Cambria"/>
          <w:b/>
          <w:color w:val="1F497D" w:themeColor="text2"/>
          <w:sz w:val="28"/>
          <w:lang w:val="fr-FR"/>
        </w:rPr>
      </w:pPr>
      <w:r>
        <w:rPr>
          <w:b/>
          <w:color w:val="1F497D" w:themeColor="text2"/>
          <w:sz w:val="28"/>
          <w:lang w:val="fr-FR"/>
        </w:rPr>
        <w:t xml:space="preserve">Fiche outils de mathématiques pour la physique-chimie : </w:t>
      </w:r>
    </w:p>
    <w:p w14:paraId="1860FC97" w14:textId="77777777" w:rsidR="00C10673" w:rsidRDefault="00000000">
      <w:pPr>
        <w:jc w:val="center"/>
        <w:rPr>
          <w:rFonts w:ascii="Cambria" w:hAnsi="Cambria"/>
          <w:color w:val="1F497D" w:themeColor="text2"/>
        </w:rPr>
      </w:pPr>
      <w:proofErr w:type="spellStart"/>
      <w:r>
        <w:rPr>
          <w:b/>
          <w:color w:val="1F497D" w:themeColor="text2"/>
          <w:sz w:val="28"/>
        </w:rPr>
        <w:t>Proportionnalité</w:t>
      </w:r>
      <w:proofErr w:type="spellEnd"/>
      <w:r>
        <w:rPr>
          <w:b/>
          <w:color w:val="1F497D" w:themeColor="text2"/>
          <w:sz w:val="28"/>
        </w:rPr>
        <w:t xml:space="preserve"> et </w:t>
      </w:r>
      <w:proofErr w:type="spellStart"/>
      <w:r>
        <w:rPr>
          <w:b/>
          <w:color w:val="1F497D" w:themeColor="text2"/>
          <w:sz w:val="28"/>
        </w:rPr>
        <w:t>fonctions</w:t>
      </w:r>
      <w:proofErr w:type="spellEnd"/>
      <w:r>
        <w:rPr>
          <w:b/>
          <w:color w:val="1F497D" w:themeColor="text2"/>
          <w:sz w:val="28"/>
        </w:rPr>
        <w:t xml:space="preserve"> </w:t>
      </w:r>
      <w:proofErr w:type="spellStart"/>
      <w:r>
        <w:rPr>
          <w:b/>
          <w:color w:val="1F497D" w:themeColor="text2"/>
          <w:sz w:val="28"/>
        </w:rPr>
        <w:t>linéaires</w:t>
      </w:r>
      <w:proofErr w:type="spellEnd"/>
    </w:p>
    <w:tbl>
      <w:tblPr>
        <w:tblStyle w:val="Grilledutableau"/>
        <w:tblW w:w="8915" w:type="dxa"/>
        <w:jc w:val="center"/>
        <w:tblLayout w:type="fixed"/>
        <w:tblLook w:val="04A0" w:firstRow="1" w:lastRow="0" w:firstColumn="1" w:lastColumn="0" w:noHBand="0" w:noVBand="1"/>
      </w:tblPr>
      <w:tblGrid>
        <w:gridCol w:w="4339"/>
        <w:gridCol w:w="4340"/>
        <w:gridCol w:w="236"/>
      </w:tblGrid>
      <w:tr w:rsidR="00C10673" w14:paraId="1860FC9B" w14:textId="77777777">
        <w:trPr>
          <w:jc w:val="center"/>
        </w:trPr>
        <w:tc>
          <w:tcPr>
            <w:tcW w:w="4379" w:type="dxa"/>
          </w:tcPr>
          <w:p w14:paraId="1860FC98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proofErr w:type="spellStart"/>
            <w:r>
              <w:rPr>
                <w:rFonts w:eastAsia="MS Mincho"/>
              </w:rPr>
              <w:t>Niveau</w:t>
            </w:r>
            <w:proofErr w:type="spellEnd"/>
            <w:r>
              <w:rPr>
                <w:rFonts w:eastAsia="MS Mincho"/>
              </w:rPr>
              <w:t>(x)</w:t>
            </w:r>
          </w:p>
        </w:tc>
        <w:tc>
          <w:tcPr>
            <w:tcW w:w="4380" w:type="dxa"/>
          </w:tcPr>
          <w:p w14:paraId="1860FC99" w14:textId="77777777" w:rsidR="00C10673" w:rsidRDefault="00000000">
            <w:pPr>
              <w:spacing w:after="0" w:line="240" w:lineRule="auto"/>
              <w:rPr>
                <w:rFonts w:ascii="Cambria" w:hAnsi="Cambria"/>
                <w:lang w:val="fr-FR"/>
              </w:rPr>
            </w:pPr>
            <w:r>
              <w:rPr>
                <w:rFonts w:eastAsia="MS Mincho"/>
                <w:lang w:val="fr-FR"/>
              </w:rPr>
              <w:t>Seconde GT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14:paraId="1860FC9A" w14:textId="77777777" w:rsidR="00C10673" w:rsidRDefault="00C10673">
            <w:pPr>
              <w:spacing w:after="0" w:line="0" w:lineRule="atLeast"/>
              <w:rPr>
                <w:sz w:val="2"/>
              </w:rPr>
            </w:pPr>
          </w:p>
        </w:tc>
      </w:tr>
      <w:tr w:rsidR="00C10673" w14:paraId="1860FC9F" w14:textId="77777777">
        <w:trPr>
          <w:jc w:val="center"/>
        </w:trPr>
        <w:tc>
          <w:tcPr>
            <w:tcW w:w="4379" w:type="dxa"/>
          </w:tcPr>
          <w:p w14:paraId="1860FC9C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 xml:space="preserve">Discipline(s) </w:t>
            </w:r>
            <w:proofErr w:type="spellStart"/>
            <w:r>
              <w:rPr>
                <w:rFonts w:eastAsia="MS Mincho"/>
              </w:rPr>
              <w:t>dominante</w:t>
            </w:r>
            <w:proofErr w:type="spellEnd"/>
            <w:r>
              <w:rPr>
                <w:rFonts w:eastAsia="MS Mincho"/>
              </w:rPr>
              <w:t>(s)</w:t>
            </w:r>
          </w:p>
        </w:tc>
        <w:tc>
          <w:tcPr>
            <w:tcW w:w="4380" w:type="dxa"/>
          </w:tcPr>
          <w:p w14:paraId="1860FC9D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>Physique-Chimie et Mathématiques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14:paraId="1860FC9E" w14:textId="77777777" w:rsidR="00C10673" w:rsidRDefault="00C10673">
            <w:pPr>
              <w:spacing w:after="0" w:line="0" w:lineRule="atLeast"/>
              <w:rPr>
                <w:sz w:val="2"/>
              </w:rPr>
            </w:pPr>
          </w:p>
        </w:tc>
      </w:tr>
      <w:tr w:rsidR="00C10673" w:rsidRPr="00CC1116" w14:paraId="1860FCA4" w14:textId="77777777">
        <w:trPr>
          <w:jc w:val="center"/>
        </w:trPr>
        <w:tc>
          <w:tcPr>
            <w:tcW w:w="4379" w:type="dxa"/>
          </w:tcPr>
          <w:p w14:paraId="1860FCA0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proofErr w:type="spellStart"/>
            <w:r>
              <w:rPr>
                <w:rFonts w:eastAsia="MS Mincho"/>
              </w:rPr>
              <w:t>Chapitres</w:t>
            </w:r>
            <w:proofErr w:type="spellEnd"/>
          </w:p>
        </w:tc>
        <w:tc>
          <w:tcPr>
            <w:tcW w:w="4380" w:type="dxa"/>
          </w:tcPr>
          <w:p w14:paraId="1860FCA2" w14:textId="6C9398F7" w:rsidR="00C10673" w:rsidRDefault="00CC1116">
            <w:pPr>
              <w:spacing w:after="0" w:line="240" w:lineRule="auto"/>
              <w:rPr>
                <w:rFonts w:ascii="Cambria" w:hAnsi="Cambria"/>
                <w:lang w:val="fr-FR"/>
              </w:rPr>
            </w:pPr>
            <w:r>
              <w:rPr>
                <w:rFonts w:eastAsia="MS Mincho"/>
                <w:lang w:val="fr-FR"/>
              </w:rPr>
              <w:t xml:space="preserve">Outil transversal aux programmes 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14:paraId="1860FCA3" w14:textId="77777777" w:rsidR="00C10673" w:rsidRPr="00CC1116" w:rsidRDefault="00C10673">
            <w:pPr>
              <w:spacing w:after="0" w:line="0" w:lineRule="atLeast"/>
              <w:rPr>
                <w:sz w:val="2"/>
                <w:lang w:val="fr-FR"/>
              </w:rPr>
            </w:pPr>
          </w:p>
        </w:tc>
      </w:tr>
      <w:tr w:rsidR="00C10673" w:rsidRPr="00CC1116" w14:paraId="1860FCA8" w14:textId="77777777">
        <w:trPr>
          <w:jc w:val="center"/>
        </w:trPr>
        <w:tc>
          <w:tcPr>
            <w:tcW w:w="4379" w:type="dxa"/>
          </w:tcPr>
          <w:p w14:paraId="1860FCA5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 xml:space="preserve">Nom de </w:t>
            </w:r>
            <w:proofErr w:type="spellStart"/>
            <w:r>
              <w:rPr>
                <w:rFonts w:eastAsia="MS Mincho"/>
              </w:rPr>
              <w:t>l'activité</w:t>
            </w:r>
            <w:proofErr w:type="spellEnd"/>
          </w:p>
        </w:tc>
        <w:tc>
          <w:tcPr>
            <w:tcW w:w="4380" w:type="dxa"/>
          </w:tcPr>
          <w:p w14:paraId="1860FCA6" w14:textId="77777777" w:rsidR="00C10673" w:rsidRDefault="00000000">
            <w:pPr>
              <w:spacing w:after="0" w:line="240" w:lineRule="auto"/>
              <w:rPr>
                <w:rFonts w:ascii="Cambria" w:hAnsi="Cambria"/>
                <w:lang w:val="fr-FR"/>
              </w:rPr>
            </w:pPr>
            <w:r>
              <w:rPr>
                <w:rFonts w:eastAsia="MS Mincho"/>
                <w:lang w:val="fr-FR"/>
              </w:rPr>
              <w:t>Fiche outils : proportionnalité et fonctions linéaires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14:paraId="1860FCA7" w14:textId="77777777" w:rsidR="00C10673" w:rsidRPr="00CC1116" w:rsidRDefault="00C10673">
            <w:pPr>
              <w:spacing w:after="0" w:line="0" w:lineRule="atLeast"/>
              <w:rPr>
                <w:sz w:val="2"/>
                <w:lang w:val="fr-FR"/>
              </w:rPr>
            </w:pPr>
          </w:p>
        </w:tc>
      </w:tr>
      <w:tr w:rsidR="00C10673" w14:paraId="1860FCAC" w14:textId="77777777">
        <w:trPr>
          <w:jc w:val="center"/>
        </w:trPr>
        <w:tc>
          <w:tcPr>
            <w:tcW w:w="4379" w:type="dxa"/>
            <w:tcBorders>
              <w:top w:val="nil"/>
            </w:tcBorders>
          </w:tcPr>
          <w:p w14:paraId="1860FCA9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 xml:space="preserve">Type </w:t>
            </w:r>
            <w:proofErr w:type="spellStart"/>
            <w:r>
              <w:rPr>
                <w:rFonts w:eastAsia="MS Mincho"/>
              </w:rPr>
              <w:t>d'activité</w:t>
            </w:r>
            <w:proofErr w:type="spellEnd"/>
          </w:p>
        </w:tc>
        <w:tc>
          <w:tcPr>
            <w:tcW w:w="4380" w:type="dxa"/>
            <w:tcBorders>
              <w:top w:val="nil"/>
            </w:tcBorders>
          </w:tcPr>
          <w:p w14:paraId="1860FCAA" w14:textId="77777777" w:rsidR="00C10673" w:rsidRDefault="00000000">
            <w:pPr>
              <w:spacing w:after="0" w:line="240" w:lineRule="auto"/>
              <w:rPr>
                <w:rFonts w:ascii="Cambria" w:hAnsi="Cambria"/>
                <w:lang w:val="fr-FR"/>
              </w:rPr>
            </w:pPr>
            <w:r>
              <w:rPr>
                <w:rFonts w:eastAsia="MS Mincho"/>
                <w:lang w:val="fr-FR"/>
              </w:rPr>
              <w:t>Activité de (re)découverte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14:paraId="1860FCAB" w14:textId="77777777" w:rsidR="00C10673" w:rsidRDefault="00C10673">
            <w:pPr>
              <w:spacing w:after="0" w:line="0" w:lineRule="atLeast"/>
              <w:rPr>
                <w:sz w:val="2"/>
              </w:rPr>
            </w:pPr>
          </w:p>
        </w:tc>
      </w:tr>
      <w:tr w:rsidR="00C10673" w:rsidRPr="00CC1116" w14:paraId="1860FCB1" w14:textId="77777777">
        <w:trPr>
          <w:jc w:val="center"/>
        </w:trPr>
        <w:tc>
          <w:tcPr>
            <w:tcW w:w="4379" w:type="dxa"/>
            <w:tcBorders>
              <w:top w:val="nil"/>
            </w:tcBorders>
          </w:tcPr>
          <w:p w14:paraId="1860FCAD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proofErr w:type="spellStart"/>
            <w:r>
              <w:rPr>
                <w:rFonts w:eastAsia="MS Mincho"/>
              </w:rPr>
              <w:t>Déroulement</w:t>
            </w:r>
            <w:proofErr w:type="spellEnd"/>
            <w:r>
              <w:rPr>
                <w:rFonts w:eastAsia="MS Mincho"/>
              </w:rPr>
              <w:t xml:space="preserve"> de la séance</w:t>
            </w:r>
          </w:p>
        </w:tc>
        <w:tc>
          <w:tcPr>
            <w:tcW w:w="4380" w:type="dxa"/>
            <w:tcBorders>
              <w:top w:val="nil"/>
            </w:tcBorders>
          </w:tcPr>
          <w:p w14:paraId="1860FCAE" w14:textId="77777777" w:rsidR="00C10673" w:rsidRDefault="00000000">
            <w:pPr>
              <w:spacing w:after="0" w:line="240" w:lineRule="auto"/>
              <w:rPr>
                <w:rFonts w:ascii="Cambria" w:hAnsi="Cambria"/>
                <w:lang w:val="fr-FR"/>
              </w:rPr>
            </w:pPr>
            <w:r>
              <w:rPr>
                <w:rFonts w:eastAsia="MS Mincho"/>
                <w:lang w:val="fr-FR"/>
              </w:rPr>
              <w:t>Rappels de collège</w:t>
            </w:r>
            <w:r>
              <w:rPr>
                <w:rFonts w:eastAsia="MS Mincho"/>
                <w:lang w:val="fr-FR"/>
              </w:rPr>
              <w:br/>
              <w:t>Représentation de la proportionnalité</w:t>
            </w:r>
          </w:p>
          <w:p w14:paraId="1860FCAF" w14:textId="77777777" w:rsidR="00C10673" w:rsidRDefault="00000000">
            <w:pPr>
              <w:spacing w:after="0" w:line="240" w:lineRule="auto"/>
              <w:rPr>
                <w:rFonts w:ascii="Cambria" w:hAnsi="Cambria"/>
                <w:lang w:val="fr-FR"/>
              </w:rPr>
            </w:pPr>
            <w:r>
              <w:rPr>
                <w:rFonts w:eastAsia="MS Mincho"/>
                <w:lang w:val="fr-FR"/>
              </w:rPr>
              <w:t>Lien avec les fonctions linéaire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14:paraId="1860FCB0" w14:textId="77777777" w:rsidR="00C10673" w:rsidRPr="00CC1116" w:rsidRDefault="00C10673">
            <w:pPr>
              <w:spacing w:after="0" w:line="0" w:lineRule="atLeast"/>
              <w:rPr>
                <w:sz w:val="2"/>
                <w:lang w:val="fr-FR"/>
              </w:rPr>
            </w:pPr>
          </w:p>
        </w:tc>
      </w:tr>
      <w:tr w:rsidR="00C10673" w14:paraId="1860FCB5" w14:textId="77777777">
        <w:trPr>
          <w:jc w:val="center"/>
        </w:trPr>
        <w:tc>
          <w:tcPr>
            <w:tcW w:w="4379" w:type="dxa"/>
            <w:tcBorders>
              <w:top w:val="nil"/>
            </w:tcBorders>
          </w:tcPr>
          <w:p w14:paraId="1860FCB2" w14:textId="77777777" w:rsidR="00C10673" w:rsidRDefault="00000000">
            <w:pPr>
              <w:spacing w:after="0" w:line="240" w:lineRule="auto"/>
              <w:rPr>
                <w:rFonts w:ascii="Cambria" w:hAnsi="Cambria"/>
                <w:lang w:val="fr-FR"/>
              </w:rPr>
            </w:pPr>
            <w:r>
              <w:rPr>
                <w:rFonts w:eastAsia="MS Mincho"/>
                <w:lang w:val="fr-FR"/>
              </w:rPr>
              <w:t>Durée de l'activité et remarques</w:t>
            </w:r>
          </w:p>
        </w:tc>
        <w:tc>
          <w:tcPr>
            <w:tcW w:w="4380" w:type="dxa"/>
            <w:tcBorders>
              <w:top w:val="nil"/>
            </w:tcBorders>
          </w:tcPr>
          <w:p w14:paraId="1860FCB3" w14:textId="77777777" w:rsidR="00C10673" w:rsidRDefault="00000000">
            <w:pPr>
              <w:spacing w:after="0" w:line="240" w:lineRule="auto"/>
              <w:rPr>
                <w:rFonts w:ascii="Cambria" w:eastAsia="MS Mincho" w:hAnsi="Cambria"/>
                <w:color w:val="000000"/>
              </w:rPr>
            </w:pPr>
            <w:r>
              <w:rPr>
                <w:rFonts w:eastAsia="MS Mincho"/>
                <w:color w:val="000000"/>
                <w:lang w:val="fr-FR"/>
              </w:rPr>
              <w:t>40 min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</w:tcPr>
          <w:p w14:paraId="1860FCB4" w14:textId="77777777" w:rsidR="00C10673" w:rsidRDefault="00C10673">
            <w:pPr>
              <w:spacing w:after="0" w:line="0" w:lineRule="atLeast"/>
              <w:rPr>
                <w:sz w:val="2"/>
              </w:rPr>
            </w:pPr>
          </w:p>
        </w:tc>
      </w:tr>
    </w:tbl>
    <w:p w14:paraId="1860FCB6" w14:textId="77777777" w:rsidR="00C10673" w:rsidRDefault="00C10673">
      <w:pPr>
        <w:jc w:val="center"/>
        <w:rPr>
          <w:rFonts w:ascii="Cambria" w:hAnsi="Cambria"/>
          <w:b/>
          <w:lang w:val="fr-FR"/>
        </w:rPr>
      </w:pPr>
    </w:p>
    <w:p w14:paraId="1860FCB7" w14:textId="77777777" w:rsidR="00C10673" w:rsidRDefault="00000000">
      <w:pPr>
        <w:jc w:val="center"/>
        <w:rPr>
          <w:rFonts w:ascii="Cambria" w:hAnsi="Cambria"/>
          <w:b/>
          <w:lang w:val="fr-FR"/>
        </w:rPr>
      </w:pPr>
      <w:r>
        <w:rPr>
          <w:b/>
          <w:lang w:val="fr-FR"/>
        </w:rPr>
        <w:t>Programme(s) officiel(s)</w:t>
      </w:r>
    </w:p>
    <w:p w14:paraId="1860FCB8" w14:textId="768EC914" w:rsidR="00C10673" w:rsidRDefault="00222B69">
      <w:pPr>
        <w:jc w:val="center"/>
        <w:rPr>
          <w:rFonts w:ascii="Cambria" w:hAnsi="Cambria"/>
          <w:b/>
          <w:lang w:val="fr-FR"/>
        </w:rPr>
      </w:pPr>
      <w:r w:rsidRPr="00222B69">
        <w:rPr>
          <w:rFonts w:ascii="Cambria" w:hAnsi="Cambria"/>
          <w:b/>
          <w:lang w:val="fr-FR"/>
        </w:rPr>
        <w:drawing>
          <wp:anchor distT="0" distB="0" distL="114300" distR="114300" simplePos="0" relativeHeight="251661312" behindDoc="1" locked="0" layoutInCell="1" allowOverlap="1" wp14:anchorId="55C7FD6F" wp14:editId="1359E5F8">
            <wp:simplePos x="0" y="0"/>
            <wp:positionH relativeFrom="column">
              <wp:posOffset>-635</wp:posOffset>
            </wp:positionH>
            <wp:positionV relativeFrom="paragraph">
              <wp:posOffset>316865</wp:posOffset>
            </wp:positionV>
            <wp:extent cx="5314950" cy="468630"/>
            <wp:effectExtent l="0" t="0" r="0" b="7620"/>
            <wp:wrapTight wrapText="bothSides">
              <wp:wrapPolygon edited="0">
                <wp:start x="0" y="0"/>
                <wp:lineTo x="0" y="21073"/>
                <wp:lineTo x="21523" y="21073"/>
                <wp:lineTo x="21523" y="0"/>
                <wp:lineTo x="0" y="0"/>
              </wp:wrapPolygon>
            </wp:wrapTight>
            <wp:docPr id="7556228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62280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0000">
        <w:rPr>
          <w:b/>
          <w:lang w:val="fr-FR"/>
        </w:rPr>
        <w:t>Chapitre réactions acido-basiques en solution aqueuse</w:t>
      </w:r>
      <w:r w:rsidR="00BC0C1C">
        <w:rPr>
          <w:b/>
          <w:lang w:val="fr-FR"/>
        </w:rPr>
        <w:t xml:space="preserve"> (exemple)</w:t>
      </w:r>
    </w:p>
    <w:p w14:paraId="1860FCBA" w14:textId="5EC4EC7D" w:rsidR="00C10673" w:rsidRDefault="00222B69">
      <w:pPr>
        <w:jc w:val="center"/>
        <w:rPr>
          <w:rFonts w:ascii="Cambria" w:hAnsi="Cambria"/>
          <w:b/>
          <w:lang w:val="fr-FR"/>
        </w:rPr>
      </w:pPr>
      <w:r w:rsidRPr="009C666D">
        <w:rPr>
          <w:rFonts w:ascii="Cambria" w:hAnsi="Cambria"/>
          <w:b/>
          <w:lang w:val="fr-FR"/>
        </w:rPr>
        <w:drawing>
          <wp:anchor distT="0" distB="0" distL="114300" distR="114300" simplePos="0" relativeHeight="251660288" behindDoc="1" locked="0" layoutInCell="1" allowOverlap="1" wp14:anchorId="58AED105" wp14:editId="31DFFEE8">
            <wp:simplePos x="0" y="0"/>
            <wp:positionH relativeFrom="column">
              <wp:posOffset>-635</wp:posOffset>
            </wp:positionH>
            <wp:positionV relativeFrom="paragraph">
              <wp:posOffset>-7620</wp:posOffset>
            </wp:positionV>
            <wp:extent cx="5270500" cy="2721610"/>
            <wp:effectExtent l="0" t="0" r="6350" b="2540"/>
            <wp:wrapTight wrapText="bothSides">
              <wp:wrapPolygon edited="0">
                <wp:start x="0" y="0"/>
                <wp:lineTo x="0" y="21469"/>
                <wp:lineTo x="21548" y="21469"/>
                <wp:lineTo x="21548" y="0"/>
                <wp:lineTo x="0" y="0"/>
              </wp:wrapPolygon>
            </wp:wrapTight>
            <wp:docPr id="7968650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6509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85829F4" w14:textId="77777777" w:rsidR="00222B69" w:rsidRDefault="00222B69">
      <w:pPr>
        <w:jc w:val="center"/>
        <w:rPr>
          <w:b/>
          <w:lang w:val="fr-FR"/>
        </w:rPr>
      </w:pPr>
    </w:p>
    <w:p w14:paraId="093856CB" w14:textId="77777777" w:rsidR="00222B69" w:rsidRDefault="00222B69">
      <w:pPr>
        <w:jc w:val="center"/>
        <w:rPr>
          <w:b/>
          <w:lang w:val="fr-FR"/>
        </w:rPr>
      </w:pPr>
    </w:p>
    <w:p w14:paraId="61800971" w14:textId="77777777" w:rsidR="00222B69" w:rsidRDefault="00222B69">
      <w:pPr>
        <w:jc w:val="center"/>
        <w:rPr>
          <w:b/>
          <w:lang w:val="fr-FR"/>
        </w:rPr>
      </w:pPr>
    </w:p>
    <w:p w14:paraId="30604183" w14:textId="77777777" w:rsidR="00222B69" w:rsidRDefault="00222B69">
      <w:pPr>
        <w:jc w:val="center"/>
        <w:rPr>
          <w:b/>
          <w:lang w:val="fr-FR"/>
        </w:rPr>
      </w:pPr>
    </w:p>
    <w:p w14:paraId="519C9291" w14:textId="77777777" w:rsidR="00222B69" w:rsidRDefault="00222B69">
      <w:pPr>
        <w:jc w:val="center"/>
        <w:rPr>
          <w:b/>
          <w:lang w:val="fr-FR"/>
        </w:rPr>
      </w:pPr>
    </w:p>
    <w:p w14:paraId="30DA1137" w14:textId="77777777" w:rsidR="00222B69" w:rsidRDefault="00222B69">
      <w:pPr>
        <w:jc w:val="center"/>
        <w:rPr>
          <w:b/>
          <w:lang w:val="fr-FR"/>
        </w:rPr>
      </w:pPr>
    </w:p>
    <w:p w14:paraId="19B99859" w14:textId="77777777" w:rsidR="00222B69" w:rsidRDefault="00222B69">
      <w:pPr>
        <w:jc w:val="center"/>
        <w:rPr>
          <w:b/>
          <w:lang w:val="fr-FR"/>
        </w:rPr>
      </w:pPr>
    </w:p>
    <w:p w14:paraId="7057BA56" w14:textId="77777777" w:rsidR="00222B69" w:rsidRDefault="00222B69">
      <w:pPr>
        <w:jc w:val="center"/>
        <w:rPr>
          <w:b/>
          <w:lang w:val="fr-FR"/>
        </w:rPr>
      </w:pPr>
    </w:p>
    <w:p w14:paraId="1860FCBB" w14:textId="00163E11" w:rsidR="00C10673" w:rsidRDefault="00000000">
      <w:pPr>
        <w:jc w:val="center"/>
        <w:rPr>
          <w:rFonts w:ascii="Cambria" w:hAnsi="Cambria"/>
          <w:lang w:val="fr-FR"/>
        </w:rPr>
      </w:pPr>
      <w:r>
        <w:rPr>
          <w:b/>
          <w:lang w:val="fr-FR"/>
        </w:rPr>
        <w:t>Compétences pouvant être évaluées au cours de l'activité</w:t>
      </w:r>
    </w:p>
    <w:tbl>
      <w:tblPr>
        <w:tblStyle w:val="Grilledutableau"/>
        <w:tblW w:w="8863" w:type="dxa"/>
        <w:tblLayout w:type="fixed"/>
        <w:tblLook w:val="04A0" w:firstRow="1" w:lastRow="0" w:firstColumn="1" w:lastColumn="0" w:noHBand="0" w:noVBand="1"/>
      </w:tblPr>
      <w:tblGrid>
        <w:gridCol w:w="1836"/>
        <w:gridCol w:w="1735"/>
        <w:gridCol w:w="1719"/>
        <w:gridCol w:w="1694"/>
        <w:gridCol w:w="1879"/>
      </w:tblGrid>
      <w:tr w:rsidR="00C10673" w14:paraId="1860FCC1" w14:textId="77777777">
        <w:tc>
          <w:tcPr>
            <w:tcW w:w="1836" w:type="dxa"/>
          </w:tcPr>
          <w:p w14:paraId="1860FCBC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 xml:space="preserve">X </w:t>
            </w:r>
            <w:proofErr w:type="spellStart"/>
            <w:r>
              <w:rPr>
                <w:rFonts w:eastAsia="MS Mincho"/>
              </w:rPr>
              <w:t>S'approprier</w:t>
            </w:r>
            <w:proofErr w:type="spellEnd"/>
          </w:p>
        </w:tc>
        <w:tc>
          <w:tcPr>
            <w:tcW w:w="1735" w:type="dxa"/>
          </w:tcPr>
          <w:p w14:paraId="1860FCBD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 xml:space="preserve">X </w:t>
            </w:r>
            <w:proofErr w:type="spellStart"/>
            <w:r>
              <w:rPr>
                <w:rFonts w:eastAsia="MS Mincho"/>
              </w:rPr>
              <w:t>Analyser</w:t>
            </w:r>
            <w:proofErr w:type="spellEnd"/>
          </w:p>
        </w:tc>
        <w:tc>
          <w:tcPr>
            <w:tcW w:w="1719" w:type="dxa"/>
          </w:tcPr>
          <w:p w14:paraId="1860FCBE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Segoe UI Symbol" w:eastAsia="MS Mincho" w:hAnsi="Segoe UI Symbol" w:cs="Segoe UI Symbol"/>
              </w:rPr>
              <w:t>☐</w:t>
            </w:r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Réaliser</w:t>
            </w:r>
            <w:proofErr w:type="spellEnd"/>
          </w:p>
        </w:tc>
        <w:tc>
          <w:tcPr>
            <w:tcW w:w="1694" w:type="dxa"/>
          </w:tcPr>
          <w:p w14:paraId="1860FCBF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Segoe UI Symbol" w:eastAsia="MS Mincho" w:hAnsi="Segoe UI Symbol" w:cs="Segoe UI Symbol"/>
              </w:rPr>
              <w:t>☐</w:t>
            </w:r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Valider</w:t>
            </w:r>
            <w:proofErr w:type="spellEnd"/>
          </w:p>
        </w:tc>
        <w:tc>
          <w:tcPr>
            <w:tcW w:w="1879" w:type="dxa"/>
          </w:tcPr>
          <w:p w14:paraId="1860FCC0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ascii="Segoe UI Symbol" w:eastAsia="MS Mincho" w:hAnsi="Segoe UI Symbol" w:cs="Segoe UI Symbol"/>
              </w:rPr>
              <w:t>☐</w:t>
            </w:r>
            <w:r>
              <w:rPr>
                <w:rFonts w:eastAsia="MS Mincho"/>
              </w:rPr>
              <w:t xml:space="preserve"> </w:t>
            </w:r>
            <w:proofErr w:type="spellStart"/>
            <w:r>
              <w:rPr>
                <w:rFonts w:eastAsia="MS Mincho"/>
              </w:rPr>
              <w:t>Communiquer</w:t>
            </w:r>
            <w:proofErr w:type="spellEnd"/>
          </w:p>
        </w:tc>
      </w:tr>
    </w:tbl>
    <w:p w14:paraId="1860FCC2" w14:textId="77777777" w:rsidR="00C10673" w:rsidRDefault="00C10673">
      <w:pPr>
        <w:jc w:val="center"/>
        <w:rPr>
          <w:rFonts w:ascii="Cambria" w:hAnsi="Cambria"/>
          <w:b/>
        </w:rPr>
      </w:pPr>
    </w:p>
    <w:p w14:paraId="1860FCC3" w14:textId="77777777" w:rsidR="00C10673" w:rsidRDefault="00000000">
      <w:pPr>
        <w:jc w:val="center"/>
        <w:rPr>
          <w:rFonts w:ascii="Cambria" w:hAnsi="Cambria"/>
        </w:rPr>
      </w:pPr>
      <w:r>
        <w:rPr>
          <w:b/>
        </w:rPr>
        <w:t>Auteur</w:t>
      </w:r>
    </w:p>
    <w:tbl>
      <w:tblPr>
        <w:tblStyle w:val="Grilledutableau"/>
        <w:tblW w:w="8863" w:type="dxa"/>
        <w:tblLayout w:type="fixed"/>
        <w:tblLook w:val="04A0" w:firstRow="1" w:lastRow="0" w:firstColumn="1" w:lastColumn="0" w:noHBand="0" w:noVBand="1"/>
      </w:tblPr>
      <w:tblGrid>
        <w:gridCol w:w="8863"/>
      </w:tblGrid>
      <w:tr w:rsidR="00C10673" w14:paraId="1860FCC5" w14:textId="77777777">
        <w:tc>
          <w:tcPr>
            <w:tcW w:w="8863" w:type="dxa"/>
          </w:tcPr>
          <w:p w14:paraId="1860FCC4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>Nicolas ERIPRET</w:t>
            </w:r>
          </w:p>
        </w:tc>
      </w:tr>
    </w:tbl>
    <w:p w14:paraId="1860FCC6" w14:textId="77777777" w:rsidR="00C10673" w:rsidRDefault="00C10673">
      <w:pPr>
        <w:sectPr w:rsidR="00C10673">
          <w:headerReference w:type="even" r:id="rId10"/>
          <w:headerReference w:type="default" r:id="rId11"/>
          <w:headerReference w:type="first" r:id="rId12"/>
          <w:pgSz w:w="12240" w:h="15840"/>
          <w:pgMar w:top="1134" w:right="1892" w:bottom="709" w:left="1701" w:header="720" w:footer="0" w:gutter="0"/>
          <w:cols w:space="720"/>
          <w:formProt w:val="0"/>
          <w:docGrid w:linePitch="360"/>
        </w:sectPr>
      </w:pPr>
    </w:p>
    <w:p w14:paraId="1860FCC7" w14:textId="77777777" w:rsidR="00C10673" w:rsidRDefault="00000000">
      <w:pPr>
        <w:pStyle w:val="Titre"/>
        <w:jc w:val="center"/>
        <w:rPr>
          <w:rFonts w:ascii="Cambria" w:hAnsi="Cambria"/>
          <w:lang w:val="fr-FR"/>
        </w:rPr>
      </w:pPr>
      <w:r>
        <w:rPr>
          <w:rFonts w:ascii="Cambria" w:hAnsi="Cambria"/>
          <w:lang w:val="fr-FR"/>
        </w:rPr>
        <w:lastRenderedPageBreak/>
        <w:t>Fiche outil - Proportionnalité et fonctions linéaires</w:t>
      </w:r>
    </w:p>
    <w:p w14:paraId="1860FCC8" w14:textId="77777777" w:rsidR="00C10673" w:rsidRDefault="00000000">
      <w:pPr>
        <w:pStyle w:val="Titre1"/>
        <w:rPr>
          <w:rFonts w:ascii="Cambria" w:hAnsi="Cambria"/>
          <w:lang w:val="fr-FR"/>
        </w:rPr>
      </w:pPr>
      <w:r>
        <w:rPr>
          <w:rFonts w:ascii="Cambria" w:hAnsi="Cambria"/>
          <w:lang w:val="fr-FR"/>
        </w:rPr>
        <w:t>1. Proportionnalité : rappels</w:t>
      </w:r>
    </w:p>
    <w:p w14:paraId="1860FCC9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 xml:space="preserve">Dans une situation de proportionnalité, </w:t>
      </w:r>
      <w:r>
        <w:rPr>
          <w:b/>
          <w:bCs/>
          <w:lang w:val="fr-FR"/>
        </w:rPr>
        <w:t>deux grandeurs</w:t>
      </w:r>
      <w:r>
        <w:rPr>
          <w:lang w:val="fr-FR"/>
        </w:rPr>
        <w:t xml:space="preserve"> évoluent dans les </w:t>
      </w:r>
      <w:r>
        <w:rPr>
          <w:b/>
          <w:bCs/>
          <w:lang w:val="fr-FR"/>
        </w:rPr>
        <w:t>mêmes proportions</w:t>
      </w:r>
      <w:r>
        <w:rPr>
          <w:lang w:val="fr-FR"/>
        </w:rPr>
        <w:t xml:space="preserve"> et sont liées par un coefficient constant appelé </w:t>
      </w:r>
      <w:r>
        <w:rPr>
          <w:b/>
          <w:bCs/>
          <w:lang w:val="fr-FR"/>
        </w:rPr>
        <w:t>coefficient de proportionnalité</w:t>
      </w:r>
      <w:r>
        <w:rPr>
          <w:lang w:val="fr-FR"/>
        </w:rPr>
        <w:t>.</w:t>
      </w:r>
    </w:p>
    <w:p w14:paraId="1860FCCA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Pour trouver une valeur manquante, on peut, au choix :</w:t>
      </w:r>
    </w:p>
    <w:p w14:paraId="1860FCCB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• Déterminer le coefficient de proportionnalité</w:t>
      </w:r>
    </w:p>
    <w:p w14:paraId="1860FCCC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• Utiliser le produit en croix</w:t>
      </w:r>
    </w:p>
    <w:tbl>
      <w:tblPr>
        <w:tblStyle w:val="Grilledutableau"/>
        <w:tblW w:w="8640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10673" w14:paraId="1860FCD1" w14:textId="77777777">
        <w:tc>
          <w:tcPr>
            <w:tcW w:w="2160" w:type="dxa"/>
          </w:tcPr>
          <w:p w14:paraId="1860FCCD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>pitaya (kg)</w:t>
            </w:r>
          </w:p>
        </w:tc>
        <w:tc>
          <w:tcPr>
            <w:tcW w:w="2160" w:type="dxa"/>
          </w:tcPr>
          <w:p w14:paraId="1860FCCE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5</w:t>
            </w:r>
          </w:p>
        </w:tc>
        <w:tc>
          <w:tcPr>
            <w:tcW w:w="2160" w:type="dxa"/>
          </w:tcPr>
          <w:p w14:paraId="1860FCCF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7</w:t>
            </w:r>
          </w:p>
        </w:tc>
        <w:tc>
          <w:tcPr>
            <w:tcW w:w="2160" w:type="dxa"/>
          </w:tcPr>
          <w:p w14:paraId="1860FCD0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11</w:t>
            </w:r>
          </w:p>
        </w:tc>
      </w:tr>
      <w:tr w:rsidR="00C10673" w14:paraId="1860FCD6" w14:textId="77777777">
        <w:tc>
          <w:tcPr>
            <w:tcW w:w="2160" w:type="dxa"/>
          </w:tcPr>
          <w:p w14:paraId="1860FCD2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>prix (€)</w:t>
            </w:r>
          </w:p>
        </w:tc>
        <w:tc>
          <w:tcPr>
            <w:tcW w:w="2160" w:type="dxa"/>
          </w:tcPr>
          <w:p w14:paraId="1860FCD3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32,50</w:t>
            </w:r>
          </w:p>
        </w:tc>
        <w:tc>
          <w:tcPr>
            <w:tcW w:w="2160" w:type="dxa"/>
          </w:tcPr>
          <w:p w14:paraId="1860FCD4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?</w:t>
            </w:r>
          </w:p>
        </w:tc>
        <w:tc>
          <w:tcPr>
            <w:tcW w:w="2160" w:type="dxa"/>
          </w:tcPr>
          <w:p w14:paraId="1860FCD5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71,50</w:t>
            </w:r>
          </w:p>
        </w:tc>
      </w:tr>
    </w:tbl>
    <w:p w14:paraId="1860FCD7" w14:textId="77777777" w:rsidR="00C10673" w:rsidRPr="00CC1116" w:rsidRDefault="00000000">
      <w:pPr>
        <w:pStyle w:val="Titre1"/>
        <w:rPr>
          <w:rFonts w:ascii="Cambria" w:hAnsi="Cambria"/>
          <w:lang w:val="fr-FR"/>
        </w:rPr>
      </w:pPr>
      <w:r w:rsidRPr="00CC1116">
        <w:rPr>
          <w:rFonts w:ascii="Cambria" w:hAnsi="Cambria"/>
          <w:lang w:val="fr-FR"/>
        </w:rPr>
        <w:t>2. Diverses représentations d’une situation de proportionnalité</w:t>
      </w:r>
    </w:p>
    <w:p w14:paraId="1860FCD8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Une situation de proportionnalité peut être représentée de trois manières 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20"/>
      </w:tblGrid>
      <w:tr w:rsidR="00C10673" w14:paraId="1860FCED" w14:textId="77777777">
        <w:tc>
          <w:tcPr>
            <w:tcW w:w="4320" w:type="dxa"/>
          </w:tcPr>
          <w:p w14:paraId="1860FCD9" w14:textId="77777777" w:rsidR="00C10673" w:rsidRPr="00CC1116" w:rsidRDefault="00C10673">
            <w:pPr>
              <w:jc w:val="center"/>
              <w:rPr>
                <w:lang w:val="fr-FR"/>
              </w:rPr>
            </w:pPr>
          </w:p>
          <w:p w14:paraId="1860FCDA" w14:textId="77777777" w:rsidR="00C10673" w:rsidRPr="00CC1116" w:rsidRDefault="00000000">
            <w:pPr>
              <w:jc w:val="center"/>
              <w:rPr>
                <w:lang w:val="fr-FR"/>
              </w:rPr>
            </w:pPr>
            <w:r w:rsidRPr="00CC1116">
              <w:rPr>
                <w:lang w:val="fr-FR"/>
              </w:rPr>
              <w:t xml:space="preserve">a) À l’aide d’un </w:t>
            </w:r>
            <w:r w:rsidRPr="00CC1116">
              <w:rPr>
                <w:b/>
                <w:bCs/>
                <w:lang w:val="fr-FR"/>
              </w:rPr>
              <w:t>tableau</w:t>
            </w:r>
            <w:r w:rsidRPr="00CC1116">
              <w:rPr>
                <w:lang w:val="fr-FR"/>
              </w:rPr>
              <w:t xml:space="preserve"> :</w:t>
            </w:r>
          </w:p>
          <w:tbl>
            <w:tblPr>
              <w:tblW w:w="5000" w:type="pct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78"/>
              <w:gridCol w:w="1078"/>
              <w:gridCol w:w="1077"/>
              <w:gridCol w:w="1077"/>
            </w:tblGrid>
            <w:tr w:rsidR="00C10673" w:rsidRPr="00CC1116" w14:paraId="1860FCDF" w14:textId="77777777"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60FCDB" w14:textId="77777777" w:rsidR="00C10673" w:rsidRPr="00CC1116" w:rsidRDefault="00000000">
                  <w:pPr>
                    <w:pStyle w:val="Contenudetableau"/>
                    <w:jc w:val="center"/>
                    <w:rPr>
                      <w:lang w:val="fr-FR"/>
                    </w:rPr>
                  </w:pPr>
                  <w:r w:rsidRPr="00CC1116">
                    <w:rPr>
                      <w:lang w:val="fr-FR"/>
                    </w:rPr>
                    <w:t>x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60FCDC" w14:textId="77777777" w:rsidR="00C10673" w:rsidRPr="00CC1116" w:rsidRDefault="00000000">
                  <w:pPr>
                    <w:pStyle w:val="Contenudetableau"/>
                    <w:jc w:val="center"/>
                    <w:rPr>
                      <w:lang w:val="fr-FR"/>
                    </w:rPr>
                  </w:pPr>
                  <w:r w:rsidRPr="00CC1116">
                    <w:rPr>
                      <w:lang w:val="fr-FR"/>
                    </w:rPr>
                    <w:t>5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60FCDD" w14:textId="77777777" w:rsidR="00C10673" w:rsidRPr="00CC1116" w:rsidRDefault="00000000">
                  <w:pPr>
                    <w:pStyle w:val="Contenudetableau"/>
                    <w:jc w:val="center"/>
                    <w:rPr>
                      <w:lang w:val="fr-FR"/>
                    </w:rPr>
                  </w:pPr>
                  <w:r w:rsidRPr="00CC1116">
                    <w:rPr>
                      <w:lang w:val="fr-FR"/>
                    </w:rPr>
                    <w:t>7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60FCDE" w14:textId="77777777" w:rsidR="00C10673" w:rsidRPr="00CC1116" w:rsidRDefault="00000000">
                  <w:pPr>
                    <w:pStyle w:val="Contenudetableau"/>
                    <w:jc w:val="center"/>
                    <w:rPr>
                      <w:lang w:val="fr-FR"/>
                    </w:rPr>
                  </w:pPr>
                  <w:r w:rsidRPr="00CC1116">
                    <w:rPr>
                      <w:lang w:val="fr-FR"/>
                    </w:rPr>
                    <w:t>10</w:t>
                  </w:r>
                </w:p>
              </w:tc>
            </w:tr>
            <w:tr w:rsidR="00C10673" w:rsidRPr="00CC1116" w14:paraId="1860FCE4" w14:textId="77777777">
              <w:tc>
                <w:tcPr>
                  <w:tcW w:w="1080" w:type="dxa"/>
                  <w:tcBorders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60FCE0" w14:textId="77777777" w:rsidR="00C10673" w:rsidRPr="00CC1116" w:rsidRDefault="00000000">
                  <w:pPr>
                    <w:pStyle w:val="Contenudetableau"/>
                    <w:jc w:val="center"/>
                    <w:rPr>
                      <w:lang w:val="fr-FR"/>
                    </w:rPr>
                  </w:pPr>
                  <w:r w:rsidRPr="00CC1116">
                    <w:rPr>
                      <w:lang w:val="fr-FR"/>
                    </w:rPr>
                    <w:t>y</w:t>
                  </w:r>
                </w:p>
              </w:tc>
              <w:tc>
                <w:tcPr>
                  <w:tcW w:w="1080" w:type="dxa"/>
                  <w:tcBorders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60FCE1" w14:textId="77777777" w:rsidR="00C10673" w:rsidRPr="00CC1116" w:rsidRDefault="00000000">
                  <w:pPr>
                    <w:pStyle w:val="Contenudetableau"/>
                    <w:jc w:val="center"/>
                    <w:rPr>
                      <w:lang w:val="fr-FR"/>
                    </w:rPr>
                  </w:pPr>
                  <w:r w:rsidRPr="00CC1116">
                    <w:rPr>
                      <w:lang w:val="fr-FR"/>
                    </w:rPr>
                    <w:t>15</w:t>
                  </w:r>
                </w:p>
              </w:tc>
              <w:tc>
                <w:tcPr>
                  <w:tcW w:w="1080" w:type="dxa"/>
                  <w:tcBorders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860FCE2" w14:textId="77777777" w:rsidR="00C10673" w:rsidRPr="00CC1116" w:rsidRDefault="00000000">
                  <w:pPr>
                    <w:pStyle w:val="Contenudetableau"/>
                    <w:jc w:val="center"/>
                    <w:rPr>
                      <w:lang w:val="fr-FR"/>
                    </w:rPr>
                  </w:pPr>
                  <w:r w:rsidRPr="00CC1116">
                    <w:rPr>
                      <w:lang w:val="fr-FR"/>
                    </w:rPr>
                    <w:t>21</w:t>
                  </w:r>
                </w:p>
              </w:tc>
              <w:tc>
                <w:tcPr>
                  <w:tcW w:w="10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60FCE3" w14:textId="77777777" w:rsidR="00C10673" w:rsidRPr="00CC1116" w:rsidRDefault="00000000">
                  <w:pPr>
                    <w:pStyle w:val="Contenudetableau"/>
                    <w:jc w:val="center"/>
                    <w:rPr>
                      <w:lang w:val="fr-FR"/>
                    </w:rPr>
                  </w:pPr>
                  <w:r w:rsidRPr="00CC1116">
                    <w:rPr>
                      <w:lang w:val="fr-FR"/>
                    </w:rPr>
                    <w:t>30</w:t>
                  </w:r>
                </w:p>
              </w:tc>
            </w:tr>
          </w:tbl>
          <w:p w14:paraId="1860FCE5" w14:textId="77777777" w:rsidR="00C10673" w:rsidRPr="00CC1116" w:rsidRDefault="00C10673">
            <w:pPr>
              <w:jc w:val="center"/>
              <w:rPr>
                <w:lang w:val="fr-FR"/>
              </w:rPr>
            </w:pPr>
          </w:p>
          <w:p w14:paraId="1860FCE6" w14:textId="77777777" w:rsidR="00C10673" w:rsidRDefault="00C10673">
            <w:pPr>
              <w:jc w:val="center"/>
              <w:rPr>
                <w:lang w:val="fr-FR"/>
              </w:rPr>
            </w:pPr>
          </w:p>
          <w:p w14:paraId="1860FCE7" w14:textId="77777777" w:rsidR="00C10673" w:rsidRDefault="0000000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b) À l’aide d’une </w:t>
            </w:r>
            <w:r>
              <w:rPr>
                <w:b/>
                <w:bCs/>
                <w:lang w:val="fr-FR"/>
              </w:rPr>
              <w:t>formule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br/>
              <w:t>(expression algébrique) :</w:t>
            </w:r>
          </w:p>
          <w:p w14:paraId="1860FCE8" w14:textId="77777777" w:rsidR="00C10673" w:rsidRPr="00CC1116" w:rsidRDefault="0000000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y =  k × x où k est le coefficient de proportionnalité</w:t>
            </w:r>
          </w:p>
        </w:tc>
        <w:tc>
          <w:tcPr>
            <w:tcW w:w="4320" w:type="dxa"/>
          </w:tcPr>
          <w:p w14:paraId="1860FCE9" w14:textId="77777777" w:rsidR="00C10673" w:rsidRDefault="0000000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 xml:space="preserve">c) À l’aide d’un </w:t>
            </w:r>
            <w:r>
              <w:rPr>
                <w:b/>
                <w:bCs/>
                <w:lang w:val="fr-FR"/>
              </w:rPr>
              <w:t>graphique</w:t>
            </w:r>
            <w:r>
              <w:rPr>
                <w:lang w:val="fr-FR"/>
              </w:rPr>
              <w:t xml:space="preserve"> : </w:t>
            </w:r>
            <w:r>
              <w:rPr>
                <w:lang w:val="fr-FR"/>
              </w:rPr>
              <w:br/>
              <w:t>une droite passant par l’origine du repère</w:t>
            </w:r>
          </w:p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20"/>
            </w:tblGrid>
            <w:tr w:rsidR="00C10673" w14:paraId="1860FCEB" w14:textId="77777777">
              <w:tc>
                <w:tcPr>
                  <w:tcW w:w="4320" w:type="dxa"/>
                </w:tcPr>
                <w:p w14:paraId="1860FCEA" w14:textId="77777777" w:rsidR="00C10673" w:rsidRDefault="00000000">
                  <w:pPr>
                    <w:pStyle w:val="Contenudetableau"/>
                  </w:pPr>
                  <w:r>
                    <w:rPr>
                      <w:noProof/>
                    </w:rPr>
                    <w:drawing>
                      <wp:inline distT="0" distB="0" distL="0" distR="0" wp14:anchorId="1860FD18" wp14:editId="1860FD19">
                        <wp:extent cx="2743200" cy="2823210"/>
                        <wp:effectExtent l="0" t="0" r="0" b="0"/>
                        <wp:docPr id="2" name="Image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43200" cy="28232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860FCEC" w14:textId="77777777" w:rsidR="00C10673" w:rsidRDefault="00C10673">
            <w:pPr>
              <w:jc w:val="center"/>
              <w:rPr>
                <w:lang w:val="fr-FR"/>
              </w:rPr>
            </w:pPr>
          </w:p>
        </w:tc>
      </w:tr>
    </w:tbl>
    <w:p w14:paraId="1860FCEE" w14:textId="77777777" w:rsidR="00C10673" w:rsidRDefault="00C10673">
      <w:pPr>
        <w:jc w:val="center"/>
      </w:pPr>
    </w:p>
    <w:p w14:paraId="1860FCEF" w14:textId="77777777" w:rsidR="00C10673" w:rsidRDefault="00000000">
      <w:pPr>
        <w:pStyle w:val="Titre1"/>
        <w:rPr>
          <w:rFonts w:ascii="Cambria" w:hAnsi="Cambria"/>
          <w:lang w:val="fr-FR"/>
        </w:rPr>
      </w:pPr>
      <w:r>
        <w:rPr>
          <w:rFonts w:ascii="Cambria" w:hAnsi="Cambria"/>
          <w:lang w:val="fr-FR"/>
        </w:rPr>
        <w:lastRenderedPageBreak/>
        <w:t>3. Notion de fonction</w:t>
      </w:r>
    </w:p>
    <w:p w14:paraId="1860FCF0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Définition :</w:t>
      </w:r>
    </w:p>
    <w:p w14:paraId="1860FCF1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Une fonction f est un processus qui, à un nombre x, associe un seul et unique nombre, noté f(x).</w:t>
      </w:r>
    </w:p>
    <w:p w14:paraId="1860FCF2" w14:textId="77777777" w:rsidR="00C10673" w:rsidRDefault="00000000">
      <w:pPr>
        <w:pStyle w:val="Titre1"/>
        <w:rPr>
          <w:rFonts w:ascii="Cambria" w:hAnsi="Cambria"/>
          <w:lang w:val="fr-FR"/>
        </w:rPr>
      </w:pPr>
      <w:r>
        <w:rPr>
          <w:rFonts w:ascii="Cambria" w:hAnsi="Cambria"/>
          <w:lang w:val="fr-FR"/>
        </w:rPr>
        <w:t>4. Une fonction particulière : la fonction linéaire</w:t>
      </w:r>
    </w:p>
    <w:p w14:paraId="1860FCF3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Définition :</w:t>
      </w:r>
    </w:p>
    <w:p w14:paraId="1860FCF4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 xml:space="preserve">Une </w:t>
      </w:r>
      <w:r>
        <w:rPr>
          <w:b/>
          <w:bCs/>
          <w:lang w:val="fr-FR"/>
        </w:rPr>
        <w:t>fonction</w:t>
      </w:r>
      <w:r>
        <w:rPr>
          <w:lang w:val="fr-FR"/>
        </w:rPr>
        <w:t xml:space="preserve"> f est dite </w:t>
      </w:r>
      <w:r>
        <w:rPr>
          <w:b/>
          <w:bCs/>
          <w:lang w:val="fr-FR"/>
        </w:rPr>
        <w:t>linéaire</w:t>
      </w:r>
      <w:r>
        <w:rPr>
          <w:lang w:val="fr-FR"/>
        </w:rPr>
        <w:t xml:space="preserve"> lorsqu’elle peut s’écrire sous la forme </w:t>
      </w:r>
      <w:r>
        <w:rPr>
          <w:b/>
          <w:bCs/>
          <w:lang w:val="fr-FR"/>
        </w:rPr>
        <w:t>f(x) = k × x</w:t>
      </w:r>
      <w:r>
        <w:rPr>
          <w:lang w:val="fr-FR"/>
        </w:rPr>
        <w:t>, où k est un nombre fixé appelé coefficient.</w:t>
      </w:r>
    </w:p>
    <w:p w14:paraId="1860FCF5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 xml:space="preserve">Une </w:t>
      </w:r>
      <w:r>
        <w:rPr>
          <w:b/>
          <w:bCs/>
          <w:lang w:val="fr-FR"/>
        </w:rPr>
        <w:t>fonction linéaire</w:t>
      </w:r>
      <w:r>
        <w:rPr>
          <w:lang w:val="fr-FR"/>
        </w:rPr>
        <w:t xml:space="preserve"> modélise une </w:t>
      </w:r>
      <w:r>
        <w:rPr>
          <w:b/>
          <w:bCs/>
          <w:lang w:val="fr-FR"/>
        </w:rPr>
        <w:t>situation de proportionnalité</w:t>
      </w:r>
      <w:r>
        <w:rPr>
          <w:lang w:val="fr-FR"/>
        </w:rPr>
        <w:t>.</w:t>
      </w:r>
    </w:p>
    <w:p w14:paraId="1860FCF6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Propriétés :</w:t>
      </w:r>
    </w:p>
    <w:p w14:paraId="1860FCF7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 xml:space="preserve">• Son </w:t>
      </w:r>
      <w:r>
        <w:rPr>
          <w:b/>
          <w:bCs/>
          <w:lang w:val="fr-FR"/>
        </w:rPr>
        <w:t>tableau</w:t>
      </w:r>
      <w:r>
        <w:rPr>
          <w:lang w:val="fr-FR"/>
        </w:rPr>
        <w:t xml:space="preserve"> de valeurs est un tableau </w:t>
      </w:r>
      <w:r>
        <w:rPr>
          <w:b/>
          <w:bCs/>
          <w:lang w:val="fr-FR"/>
        </w:rPr>
        <w:t>de proportionnalité</w:t>
      </w:r>
      <w:r>
        <w:rPr>
          <w:lang w:val="fr-FR"/>
        </w:rPr>
        <w:t>.</w:t>
      </w:r>
    </w:p>
    <w:p w14:paraId="1860FCF8" w14:textId="77777777" w:rsidR="00C10673" w:rsidRDefault="00000000">
      <w:pPr>
        <w:ind w:right="57"/>
        <w:rPr>
          <w:rFonts w:ascii="Cambria" w:hAnsi="Cambria"/>
          <w:lang w:val="fr-FR"/>
        </w:rPr>
      </w:pPr>
      <w:r>
        <w:rPr>
          <w:lang w:val="fr-FR"/>
        </w:rPr>
        <w:t xml:space="preserve">• Sa </w:t>
      </w:r>
      <w:r>
        <w:rPr>
          <w:b/>
          <w:bCs/>
          <w:lang w:val="fr-FR"/>
        </w:rPr>
        <w:t>représentation graphique</w:t>
      </w:r>
      <w:r>
        <w:rPr>
          <w:lang w:val="fr-FR"/>
        </w:rPr>
        <w:t xml:space="preserve"> est une </w:t>
      </w:r>
      <w:r>
        <w:rPr>
          <w:b/>
          <w:bCs/>
          <w:lang w:val="fr-FR"/>
        </w:rPr>
        <w:t>droite passant par l’origine</w:t>
      </w:r>
      <w:r>
        <w:rPr>
          <w:lang w:val="fr-FR"/>
        </w:rPr>
        <w:t>.</w:t>
      </w:r>
    </w:p>
    <w:p w14:paraId="1860FCF9" w14:textId="77777777" w:rsidR="00C10673" w:rsidRDefault="00000000">
      <w:pPr>
        <w:pStyle w:val="Titre1"/>
        <w:rPr>
          <w:rFonts w:ascii="Cambria" w:hAnsi="Cambria"/>
          <w:lang w:val="fr-FR"/>
        </w:rPr>
      </w:pPr>
      <w:r>
        <w:rPr>
          <w:rFonts w:ascii="Cambria" w:hAnsi="Cambria"/>
          <w:lang w:val="fr-FR"/>
        </w:rPr>
        <w:t>5. Application en physique : dosage par étalonnage</w:t>
      </w:r>
    </w:p>
    <w:p w14:paraId="1860FCFA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On souhaite déterminer la concentration d’une solution inconnue à partir d’une grandeur mesurable appelée absorbance.</w:t>
      </w:r>
    </w:p>
    <w:p w14:paraId="1860FCFB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Principe :</w:t>
      </w:r>
    </w:p>
    <w:p w14:paraId="1860FCFC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On mesure l’absorbance de solutions de concentrations connues (solutions étalons), puis on trace la droite d’étalonnage.</w:t>
      </w:r>
    </w:p>
    <w:p w14:paraId="1860FCFD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On observe une relation de proportionnalité entre l’absorbance A et la concentration C.</w:t>
      </w:r>
    </w:p>
    <w:p w14:paraId="1860FCFE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Relation : A = k × C, où k est le coefficient d’absorption. A et C sont proportionnelles.</w:t>
      </w:r>
    </w:p>
    <w:p w14:paraId="1860FCFF" w14:textId="77777777" w:rsidR="00C10673" w:rsidRDefault="00000000">
      <w:pPr>
        <w:pStyle w:val="Titre2"/>
        <w:rPr>
          <w:rFonts w:ascii="Cambria" w:hAnsi="Cambria"/>
          <w:lang w:val="fr-FR"/>
        </w:rPr>
      </w:pPr>
      <w:r>
        <w:rPr>
          <w:rFonts w:ascii="Cambria" w:hAnsi="Cambria"/>
          <w:lang w:val="fr-FR"/>
        </w:rPr>
        <w:t>Exercice : Eau potable ou non ?</w:t>
      </w:r>
    </w:p>
    <w:p w14:paraId="1860FD00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La norme indique qu’une eau est potable si sa concentration en fer est inférieure à 0,2 mg/L.</w:t>
      </w:r>
    </w:p>
    <w:tbl>
      <w:tblPr>
        <w:tblStyle w:val="Grilledutableau"/>
        <w:tblW w:w="8640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C10673" w14:paraId="1860FD05" w14:textId="77777777">
        <w:tc>
          <w:tcPr>
            <w:tcW w:w="2160" w:type="dxa"/>
          </w:tcPr>
          <w:p w14:paraId="1860FD01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>C (mg/L)</w:t>
            </w:r>
          </w:p>
        </w:tc>
        <w:tc>
          <w:tcPr>
            <w:tcW w:w="2160" w:type="dxa"/>
          </w:tcPr>
          <w:p w14:paraId="1860FD02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0,5</w:t>
            </w:r>
          </w:p>
        </w:tc>
        <w:tc>
          <w:tcPr>
            <w:tcW w:w="2160" w:type="dxa"/>
          </w:tcPr>
          <w:p w14:paraId="1860FD03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1,0</w:t>
            </w:r>
          </w:p>
        </w:tc>
        <w:tc>
          <w:tcPr>
            <w:tcW w:w="2160" w:type="dxa"/>
          </w:tcPr>
          <w:p w14:paraId="1860FD04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1,5</w:t>
            </w:r>
          </w:p>
        </w:tc>
      </w:tr>
      <w:tr w:rsidR="00C10673" w14:paraId="1860FD0A" w14:textId="77777777">
        <w:tc>
          <w:tcPr>
            <w:tcW w:w="2160" w:type="dxa"/>
          </w:tcPr>
          <w:p w14:paraId="1860FD06" w14:textId="77777777" w:rsidR="00C10673" w:rsidRDefault="00000000">
            <w:pPr>
              <w:spacing w:after="0" w:line="240" w:lineRule="auto"/>
              <w:rPr>
                <w:rFonts w:ascii="Cambria" w:hAnsi="Cambria"/>
              </w:rPr>
            </w:pPr>
            <w:r>
              <w:rPr>
                <w:rFonts w:eastAsia="MS Mincho"/>
              </w:rPr>
              <w:t>A</w:t>
            </w:r>
          </w:p>
        </w:tc>
        <w:tc>
          <w:tcPr>
            <w:tcW w:w="2160" w:type="dxa"/>
          </w:tcPr>
          <w:p w14:paraId="1860FD07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0,18</w:t>
            </w:r>
          </w:p>
        </w:tc>
        <w:tc>
          <w:tcPr>
            <w:tcW w:w="2160" w:type="dxa"/>
          </w:tcPr>
          <w:p w14:paraId="1860FD08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0,36</w:t>
            </w:r>
          </w:p>
        </w:tc>
        <w:tc>
          <w:tcPr>
            <w:tcW w:w="2160" w:type="dxa"/>
          </w:tcPr>
          <w:p w14:paraId="1860FD09" w14:textId="77777777" w:rsidR="00C10673" w:rsidRDefault="00000000">
            <w:pPr>
              <w:spacing w:after="0" w:line="240" w:lineRule="auto"/>
              <w:jc w:val="center"/>
              <w:rPr>
                <w:rFonts w:ascii="Cambria" w:eastAsia="MS Mincho" w:hAnsi="Cambria"/>
              </w:rPr>
            </w:pPr>
            <w:r>
              <w:rPr>
                <w:rFonts w:eastAsia="MS Mincho"/>
              </w:rPr>
              <w:t>0,54</w:t>
            </w:r>
          </w:p>
        </w:tc>
      </w:tr>
    </w:tbl>
    <w:p w14:paraId="1860FD0B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1. Montrer qu’il s’agit d’une situation de proportionnalité.</w:t>
      </w:r>
    </w:p>
    <w:p w14:paraId="1860FD0C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2. Déterminer le coefficient de proportionnalité k, ici appelé coefficient d’absorption.</w:t>
      </w:r>
    </w:p>
    <w:p w14:paraId="1860FD0D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3. On mesure une absorbance A = 0,27. Calculer la concentration.</w:t>
      </w:r>
    </w:p>
    <w:p w14:paraId="1860FD0E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4. Conclure sur la potabilité de l’eau.</w:t>
      </w:r>
    </w:p>
    <w:p w14:paraId="1860FD0F" w14:textId="77777777" w:rsidR="00C10673" w:rsidRDefault="00000000">
      <w:pPr>
        <w:pStyle w:val="Titre2"/>
        <w:rPr>
          <w:rFonts w:ascii="Cambria" w:hAnsi="Cambria"/>
          <w:lang w:val="fr-FR"/>
        </w:rPr>
      </w:pPr>
      <w:r>
        <w:rPr>
          <w:rFonts w:ascii="Cambria" w:hAnsi="Cambria"/>
          <w:lang w:val="fr-FR"/>
        </w:rPr>
        <w:lastRenderedPageBreak/>
        <w:t>Correction</w:t>
      </w:r>
    </w:p>
    <w:p w14:paraId="1860FD10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On vérifie que le rapport A/C est constant : 0,18/0,5 = 0,36 ; 0,36/1,0 = 0,36 ; 0,54/1,5 = 0,36.</w:t>
      </w:r>
    </w:p>
    <w:p w14:paraId="1860FD11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Donc A = 0,36 × C et k = 0,36.</w:t>
      </w:r>
    </w:p>
    <w:p w14:paraId="1860FD12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C = A / k = 0,27 / 0,36 = 0,75 mg/L.</w:t>
      </w:r>
    </w:p>
    <w:p w14:paraId="1860FD13" w14:textId="77777777" w:rsidR="00C10673" w:rsidRDefault="00000000">
      <w:pPr>
        <w:rPr>
          <w:rFonts w:ascii="Cambria" w:hAnsi="Cambria"/>
          <w:lang w:val="fr-FR"/>
        </w:rPr>
      </w:pPr>
      <w:r>
        <w:rPr>
          <w:lang w:val="fr-FR"/>
        </w:rPr>
        <w:t>Comme 0,75 &gt; 0,2, l’eau n’est pas potable.</w:t>
      </w:r>
    </w:p>
    <w:p w14:paraId="1860FD14" w14:textId="77777777" w:rsidR="00C10673" w:rsidRDefault="00000000">
      <w:pPr>
        <w:pStyle w:val="Titre1"/>
        <w:rPr>
          <w:rFonts w:ascii="Cambria" w:hAnsi="Cambria"/>
          <w:lang w:val="fr-FR"/>
        </w:rPr>
      </w:pPr>
      <w:r>
        <w:rPr>
          <w:rFonts w:ascii="Cambria" w:hAnsi="Cambria"/>
          <w:lang w:val="fr-FR"/>
        </w:rPr>
        <w:t>À retenir</w:t>
      </w:r>
    </w:p>
    <w:p w14:paraId="1860FD15" w14:textId="77777777" w:rsidR="00C10673" w:rsidRPr="00CC1116" w:rsidRDefault="00000000">
      <w:pPr>
        <w:jc w:val="both"/>
        <w:rPr>
          <w:lang w:val="fr-FR"/>
        </w:rPr>
      </w:pPr>
      <w:r>
        <w:rPr>
          <w:lang w:val="fr-FR"/>
        </w:rPr>
        <w:t>La proportionnalité est un outil fondamental en sciences physiques, que l’on rencontre dans de nombreuses situations. La fonction linéaire permet de modéliser ces situations et le coefficient k a une signification physique.</w:t>
      </w:r>
    </w:p>
    <w:sectPr w:rsidR="00C10673" w:rsidRPr="00CC1116">
      <w:headerReference w:type="default" r:id="rId14"/>
      <w:headerReference w:type="first" r:id="rId15"/>
      <w:pgSz w:w="12240" w:h="15840"/>
      <w:pgMar w:top="1440" w:right="1800" w:bottom="1440" w:left="180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4ED4E" w14:textId="77777777" w:rsidR="0065349E" w:rsidRDefault="0065349E">
      <w:pPr>
        <w:spacing w:after="0" w:line="240" w:lineRule="auto"/>
      </w:pPr>
      <w:r>
        <w:separator/>
      </w:r>
    </w:p>
  </w:endnote>
  <w:endnote w:type="continuationSeparator" w:id="0">
    <w:p w14:paraId="446987BD" w14:textId="77777777" w:rsidR="0065349E" w:rsidRDefault="00653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roman"/>
    <w:pitch w:val="variable"/>
  </w:font>
  <w:font w:name="Lucida Sans">
    <w:panose1 w:val="020B0602030504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FB41E" w14:textId="77777777" w:rsidR="0065349E" w:rsidRDefault="0065349E">
      <w:pPr>
        <w:spacing w:after="0" w:line="240" w:lineRule="auto"/>
      </w:pPr>
      <w:r>
        <w:separator/>
      </w:r>
    </w:p>
  </w:footnote>
  <w:footnote w:type="continuationSeparator" w:id="0">
    <w:p w14:paraId="7D6EF2DC" w14:textId="77777777" w:rsidR="0065349E" w:rsidRDefault="00653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FD1A" w14:textId="77777777" w:rsidR="00C10673" w:rsidRDefault="00C1067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FD1B" w14:textId="77777777" w:rsidR="00C10673" w:rsidRDefault="00000000">
    <w:pPr>
      <w:pStyle w:val="En-tte"/>
      <w:rPr>
        <w:rFonts w:ascii="Cambria" w:hAnsi="Cambria"/>
        <w:lang w:val="fr-FR"/>
      </w:rPr>
    </w:pPr>
    <w:r>
      <w:tab/>
    </w:r>
    <w:r>
      <w:tab/>
    </w:r>
    <w:r>
      <w:rPr>
        <w:lang w:val="fr-FR"/>
      </w:rPr>
      <w:t>Fiches mathématiques pour la physique-chimie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FD1C" w14:textId="77777777" w:rsidR="00C10673" w:rsidRDefault="00000000">
    <w:pPr>
      <w:pStyle w:val="En-tte"/>
      <w:rPr>
        <w:rFonts w:ascii="Cambria" w:hAnsi="Cambria"/>
        <w:lang w:val="fr-FR"/>
      </w:rPr>
    </w:pPr>
    <w:r>
      <w:tab/>
    </w:r>
    <w:r>
      <w:tab/>
    </w:r>
    <w:r>
      <w:rPr>
        <w:lang w:val="fr-FR"/>
      </w:rPr>
      <w:t>Fiches mathématiques pour la physique-chimie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FD1D" w14:textId="77777777" w:rsidR="00C10673" w:rsidRDefault="00000000">
    <w:pPr>
      <w:pStyle w:val="En-tte"/>
      <w:rPr>
        <w:rFonts w:ascii="Cambria" w:hAnsi="Cambria"/>
        <w:lang w:val="fr-FR"/>
      </w:rPr>
    </w:pPr>
    <w:r>
      <w:tab/>
    </w:r>
    <w:r>
      <w:tab/>
    </w:r>
    <w:r>
      <w:rPr>
        <w:lang w:val="fr-FR"/>
      </w:rPr>
      <w:t>Fiches mathématiques pour la physique-chimie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FD1E" w14:textId="77777777" w:rsidR="00C10673" w:rsidRDefault="00C106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20A13"/>
    <w:multiLevelType w:val="multilevel"/>
    <w:tmpl w:val="55E47458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D304BBA"/>
    <w:multiLevelType w:val="multilevel"/>
    <w:tmpl w:val="DFCEA04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54E2920"/>
    <w:multiLevelType w:val="multilevel"/>
    <w:tmpl w:val="ED36EF8E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493727F"/>
    <w:multiLevelType w:val="multilevel"/>
    <w:tmpl w:val="66CE7A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BC67445"/>
    <w:multiLevelType w:val="multilevel"/>
    <w:tmpl w:val="67F488F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48C621C"/>
    <w:multiLevelType w:val="multilevel"/>
    <w:tmpl w:val="1B528B96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B372E88"/>
    <w:multiLevelType w:val="multilevel"/>
    <w:tmpl w:val="81F03E20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931935807">
    <w:abstractNumId w:val="4"/>
  </w:num>
  <w:num w:numId="2" w16cid:durableId="1527796036">
    <w:abstractNumId w:val="2"/>
  </w:num>
  <w:num w:numId="3" w16cid:durableId="406852217">
    <w:abstractNumId w:val="0"/>
  </w:num>
  <w:num w:numId="4" w16cid:durableId="1290163473">
    <w:abstractNumId w:val="1"/>
  </w:num>
  <w:num w:numId="5" w16cid:durableId="541595540">
    <w:abstractNumId w:val="6"/>
  </w:num>
  <w:num w:numId="6" w16cid:durableId="1861458">
    <w:abstractNumId w:val="5"/>
  </w:num>
  <w:num w:numId="7" w16cid:durableId="1432775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673"/>
    <w:rsid w:val="00222B69"/>
    <w:rsid w:val="0065349E"/>
    <w:rsid w:val="009C666D"/>
    <w:rsid w:val="00BC0C1C"/>
    <w:rsid w:val="00C10673"/>
    <w:rsid w:val="00C90572"/>
    <w:rsid w:val="00CC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FC96"/>
  <w15:docId w15:val="{D739867A-3E41-494D-BC4A-AAE1E28A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E618BF"/>
  </w:style>
  <w:style w:type="character" w:customStyle="1" w:styleId="PieddepageCar">
    <w:name w:val="Pied de page Car"/>
    <w:basedOn w:val="Policepardfaut"/>
    <w:link w:val="Pieddepage"/>
    <w:uiPriority w:val="99"/>
    <w:qFormat/>
    <w:rsid w:val="00E618BF"/>
  </w:style>
  <w:style w:type="character" w:customStyle="1" w:styleId="Titre1Car">
    <w:name w:val="Titre 1 Car"/>
    <w:basedOn w:val="Policepardfaut"/>
    <w:link w:val="Titre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Car">
    <w:name w:val="Titre Car"/>
    <w:basedOn w:val="Policepardfaut"/>
    <w:link w:val="Titr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99"/>
    <w:qFormat/>
    <w:rsid w:val="00AA1D8D"/>
  </w:style>
  <w:style w:type="character" w:customStyle="1" w:styleId="Corpsdetexte2Car">
    <w:name w:val="Corps de texte 2 Car"/>
    <w:basedOn w:val="Policepardfaut"/>
    <w:link w:val="Corpsdetexte2"/>
    <w:uiPriority w:val="99"/>
    <w:qFormat/>
    <w:rsid w:val="00AA1D8D"/>
  </w:style>
  <w:style w:type="character" w:customStyle="1" w:styleId="Corpsdetexte3Car">
    <w:name w:val="Corps de texte 3 Car"/>
    <w:basedOn w:val="Policepardfaut"/>
    <w:link w:val="Corpsdetexte3"/>
    <w:uiPriority w:val="99"/>
    <w:qFormat/>
    <w:rsid w:val="00AA1D8D"/>
    <w:rPr>
      <w:sz w:val="16"/>
      <w:szCs w:val="16"/>
    </w:rPr>
  </w:style>
  <w:style w:type="character" w:customStyle="1" w:styleId="TextedemacroCar">
    <w:name w:val="Texte de macro Car"/>
    <w:basedOn w:val="Policepardfaut"/>
    <w:link w:val="Textede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tionCar">
    <w:name w:val="Citation Car"/>
    <w:basedOn w:val="Policepardfaut"/>
    <w:link w:val="Citation"/>
    <w:uiPriority w:val="29"/>
    <w:qFormat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qFormat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Titre">
    <w:name w:val="Title"/>
    <w:basedOn w:val="Normal"/>
    <w:next w:val="Corpsdetexte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ansinterligne">
    <w:name w:val="No Spacing"/>
    <w:uiPriority w:val="1"/>
    <w:qFormat/>
    <w:rsid w:val="00FC693F"/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2">
    <w:name w:val="Body Text 2"/>
    <w:basedOn w:val="Normal"/>
    <w:link w:val="Corpsdetexte2Car"/>
    <w:uiPriority w:val="99"/>
    <w:unhideWhenUsed/>
    <w:qFormat/>
    <w:rsid w:val="00AA1D8D"/>
    <w:pPr>
      <w:spacing w:after="120" w:line="480" w:lineRule="auto"/>
    </w:pPr>
  </w:style>
  <w:style w:type="paragraph" w:styleId="Corpsdetexte3">
    <w:name w:val="Body Text 3"/>
    <w:basedOn w:val="Normal"/>
    <w:link w:val="Corpsdetexte3C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e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itreindex">
    <w:name w:val="index heading"/>
    <w:basedOn w:val="Titre"/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531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Philippe Thibault</cp:lastModifiedBy>
  <cp:revision>29</cp:revision>
  <dcterms:created xsi:type="dcterms:W3CDTF">2026-06-30T12:13:00Z</dcterms:created>
  <dcterms:modified xsi:type="dcterms:W3CDTF">2026-07-01T11:20:00Z</dcterms:modified>
  <dc:language>fr-FR</dc:language>
</cp:coreProperties>
</file>