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5902" w14:textId="125F3486" w:rsidR="000E751E" w:rsidRPr="00A578F1" w:rsidRDefault="000E751E" w:rsidP="00064BBE">
      <w:pPr>
        <w:pStyle w:val="Sansinterligne"/>
        <w:pBdr>
          <w:top w:val="single" w:sz="18" w:space="1" w:color="auto"/>
          <w:left w:val="single" w:sz="18" w:space="4" w:color="auto"/>
          <w:bottom w:val="single" w:sz="18" w:space="1" w:color="auto"/>
          <w:right w:val="single" w:sz="18" w:space="4" w:color="auto"/>
        </w:pBdr>
        <w:shd w:val="clear" w:color="auto" w:fill="D0CECE" w:themeFill="background2" w:themeFillShade="E6"/>
        <w:jc w:val="center"/>
        <w:rPr>
          <w:rFonts w:ascii="Arial" w:hAnsi="Arial" w:cs="Arial"/>
          <w:b/>
          <w:sz w:val="20"/>
          <w:szCs w:val="20"/>
        </w:rPr>
      </w:pPr>
      <w:r w:rsidRPr="00A578F1">
        <w:rPr>
          <w:rFonts w:ascii="Arial" w:hAnsi="Arial" w:cs="Arial"/>
          <w:b/>
          <w:sz w:val="20"/>
          <w:szCs w:val="20"/>
        </w:rPr>
        <w:t>1</w:t>
      </w:r>
      <w:r w:rsidRPr="00A578F1">
        <w:rPr>
          <w:rFonts w:ascii="Arial" w:hAnsi="Arial" w:cs="Arial"/>
          <w:b/>
          <w:sz w:val="20"/>
          <w:szCs w:val="20"/>
          <w:vertAlign w:val="superscript"/>
        </w:rPr>
        <w:t>ère</w:t>
      </w:r>
      <w:r w:rsidRPr="00A578F1">
        <w:rPr>
          <w:rFonts w:ascii="Arial" w:hAnsi="Arial" w:cs="Arial"/>
          <w:b/>
          <w:sz w:val="20"/>
          <w:szCs w:val="20"/>
        </w:rPr>
        <w:t xml:space="preserve"> Générale </w:t>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3F3253" w:rsidRPr="00A578F1">
        <w:rPr>
          <w:rFonts w:ascii="Arial" w:hAnsi="Arial" w:cs="Arial"/>
          <w:b/>
          <w:sz w:val="20"/>
          <w:szCs w:val="20"/>
        </w:rPr>
        <w:tab/>
      </w:r>
      <w:r w:rsidR="003F3253" w:rsidRPr="00A578F1">
        <w:rPr>
          <w:rFonts w:ascii="Arial" w:hAnsi="Arial" w:cs="Arial"/>
          <w:b/>
          <w:sz w:val="20"/>
          <w:szCs w:val="20"/>
        </w:rPr>
        <w:tab/>
      </w:r>
      <w:r w:rsidR="003F3253" w:rsidRPr="00A578F1">
        <w:rPr>
          <w:rFonts w:ascii="Arial" w:hAnsi="Arial" w:cs="Arial"/>
          <w:b/>
          <w:sz w:val="20"/>
          <w:szCs w:val="20"/>
        </w:rPr>
        <w:tab/>
      </w:r>
      <w:r w:rsidR="003F3253" w:rsidRPr="00A578F1">
        <w:rPr>
          <w:rFonts w:ascii="Arial" w:hAnsi="Arial" w:cs="Arial"/>
          <w:b/>
          <w:sz w:val="20"/>
          <w:szCs w:val="20"/>
        </w:rPr>
        <w:tab/>
      </w:r>
      <w:r w:rsidR="003F3253"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00524F55" w:rsidRPr="00A578F1">
        <w:rPr>
          <w:rFonts w:ascii="Arial" w:hAnsi="Arial" w:cs="Arial"/>
          <w:b/>
          <w:sz w:val="20"/>
          <w:szCs w:val="20"/>
        </w:rPr>
        <w:tab/>
      </w:r>
      <w:r w:rsidRPr="00A578F1">
        <w:rPr>
          <w:rFonts w:ascii="Arial" w:hAnsi="Arial" w:cs="Arial"/>
          <w:b/>
          <w:sz w:val="20"/>
          <w:szCs w:val="20"/>
        </w:rPr>
        <w:t>Enseignement scientifique</w:t>
      </w:r>
    </w:p>
    <w:p w14:paraId="78698215" w14:textId="3BD52709" w:rsidR="000E751E" w:rsidRPr="00A578F1" w:rsidRDefault="000E751E" w:rsidP="00064BBE">
      <w:pPr>
        <w:pStyle w:val="Sansinterligne"/>
        <w:pBdr>
          <w:top w:val="single" w:sz="18" w:space="1" w:color="auto"/>
          <w:left w:val="single" w:sz="18" w:space="4" w:color="auto"/>
          <w:bottom w:val="single" w:sz="18" w:space="1" w:color="auto"/>
          <w:right w:val="single" w:sz="18" w:space="4" w:color="auto"/>
        </w:pBdr>
        <w:shd w:val="clear" w:color="auto" w:fill="D0CECE" w:themeFill="background2" w:themeFillShade="E6"/>
        <w:jc w:val="center"/>
        <w:rPr>
          <w:rFonts w:ascii="Arial" w:hAnsi="Arial" w:cs="Arial"/>
          <w:b/>
          <w:sz w:val="20"/>
          <w:szCs w:val="20"/>
        </w:rPr>
      </w:pPr>
      <w:r w:rsidRPr="00A578F1">
        <w:rPr>
          <w:rFonts w:ascii="Arial" w:hAnsi="Arial" w:cs="Arial"/>
          <w:b/>
          <w:sz w:val="20"/>
          <w:szCs w:val="20"/>
        </w:rPr>
        <w:t>Progression</w:t>
      </w:r>
      <w:r w:rsidR="00524F55" w:rsidRPr="00A578F1">
        <w:rPr>
          <w:rFonts w:ascii="Arial" w:hAnsi="Arial" w:cs="Arial"/>
          <w:b/>
          <w:sz w:val="20"/>
          <w:szCs w:val="20"/>
        </w:rPr>
        <w:t xml:space="preserve"> et programme</w:t>
      </w:r>
      <w:r w:rsidR="003F3253" w:rsidRPr="00A578F1">
        <w:rPr>
          <w:rFonts w:ascii="Arial" w:hAnsi="Arial" w:cs="Arial"/>
          <w:b/>
          <w:sz w:val="20"/>
          <w:szCs w:val="20"/>
        </w:rPr>
        <w:t xml:space="preserve"> 20</w:t>
      </w:r>
      <w:r w:rsidR="00D7776A">
        <w:rPr>
          <w:rFonts w:ascii="Arial" w:hAnsi="Arial" w:cs="Arial"/>
          <w:b/>
          <w:sz w:val="20"/>
          <w:szCs w:val="20"/>
        </w:rPr>
        <w:t>19</w:t>
      </w:r>
      <w:r w:rsidR="003F3253" w:rsidRPr="00A578F1">
        <w:rPr>
          <w:rFonts w:ascii="Arial" w:hAnsi="Arial" w:cs="Arial"/>
          <w:b/>
          <w:sz w:val="20"/>
          <w:szCs w:val="20"/>
        </w:rPr>
        <w:t>/202</w:t>
      </w:r>
      <w:r w:rsidR="00D7776A">
        <w:rPr>
          <w:rFonts w:ascii="Arial" w:hAnsi="Arial" w:cs="Arial"/>
          <w:b/>
          <w:sz w:val="20"/>
          <w:szCs w:val="20"/>
        </w:rPr>
        <w:t>0</w:t>
      </w:r>
    </w:p>
    <w:p w14:paraId="02B0501A" w14:textId="77777777" w:rsidR="000E751E" w:rsidRPr="00A578F1" w:rsidRDefault="000E751E">
      <w:pPr>
        <w:rPr>
          <w:rFonts w:ascii="Arial" w:hAnsi="Arial" w:cs="Arial"/>
          <w:sz w:val="20"/>
          <w:szCs w:val="20"/>
        </w:rPr>
      </w:pPr>
      <w:bookmarkStart w:id="0" w:name="_GoBack"/>
      <w:bookmarkEnd w:id="0"/>
    </w:p>
    <w:tbl>
      <w:tblPr>
        <w:tblStyle w:val="Grilledutableau"/>
        <w:tblW w:w="15882" w:type="dxa"/>
        <w:tblInd w:w="-289" w:type="dxa"/>
        <w:tblLook w:val="04A0" w:firstRow="1" w:lastRow="0" w:firstColumn="1" w:lastColumn="0" w:noHBand="0" w:noVBand="1"/>
      </w:tblPr>
      <w:tblGrid>
        <w:gridCol w:w="499"/>
        <w:gridCol w:w="583"/>
        <w:gridCol w:w="578"/>
        <w:gridCol w:w="2022"/>
        <w:gridCol w:w="498"/>
        <w:gridCol w:w="3339"/>
        <w:gridCol w:w="3969"/>
        <w:gridCol w:w="3398"/>
        <w:gridCol w:w="498"/>
        <w:gridCol w:w="498"/>
      </w:tblGrid>
      <w:tr w:rsidR="003F3253" w:rsidRPr="00A578F1" w14:paraId="087744C5" w14:textId="77777777" w:rsidTr="003F3253">
        <w:trPr>
          <w:trHeight w:val="1496"/>
        </w:trPr>
        <w:tc>
          <w:tcPr>
            <w:tcW w:w="499" w:type="dxa"/>
            <w:vMerge w:val="restart"/>
            <w:tcBorders>
              <w:top w:val="nil"/>
              <w:left w:val="nil"/>
              <w:right w:val="nil"/>
            </w:tcBorders>
            <w:shd w:val="clear" w:color="auto" w:fill="FFFFFF" w:themeFill="background1"/>
            <w:textDirection w:val="btLr"/>
            <w:vAlign w:val="center"/>
          </w:tcPr>
          <w:p w14:paraId="40FD9B49" w14:textId="77777777" w:rsidR="003F3253" w:rsidRPr="00A578F1" w:rsidRDefault="003F3253" w:rsidP="00E52988">
            <w:pPr>
              <w:ind w:left="113" w:right="113"/>
              <w:jc w:val="center"/>
              <w:rPr>
                <w:rFonts w:ascii="Arial" w:hAnsi="Arial" w:cs="Arial"/>
                <w:b/>
                <w:sz w:val="20"/>
                <w:szCs w:val="20"/>
              </w:rPr>
            </w:pPr>
            <w:r w:rsidRPr="00A578F1">
              <w:rPr>
                <w:rFonts w:ascii="Arial" w:hAnsi="Arial" w:cs="Arial"/>
                <w:b/>
                <w:sz w:val="20"/>
                <w:szCs w:val="20"/>
              </w:rPr>
              <w:t>Chapitre</w:t>
            </w:r>
          </w:p>
        </w:tc>
        <w:tc>
          <w:tcPr>
            <w:tcW w:w="583" w:type="dxa"/>
            <w:vMerge w:val="restart"/>
            <w:tcBorders>
              <w:top w:val="nil"/>
              <w:left w:val="nil"/>
              <w:right w:val="nil"/>
            </w:tcBorders>
            <w:shd w:val="clear" w:color="auto" w:fill="E7E6E6" w:themeFill="background2"/>
            <w:textDirection w:val="btLr"/>
            <w:vAlign w:val="center"/>
          </w:tcPr>
          <w:p w14:paraId="5C3B0EF2" w14:textId="77777777" w:rsidR="003F3253" w:rsidRPr="00A578F1" w:rsidRDefault="003F3253" w:rsidP="00E52988">
            <w:pPr>
              <w:ind w:left="113" w:right="113"/>
              <w:jc w:val="center"/>
              <w:rPr>
                <w:rFonts w:ascii="Arial" w:hAnsi="Arial" w:cs="Arial"/>
                <w:b/>
                <w:sz w:val="20"/>
                <w:szCs w:val="20"/>
              </w:rPr>
            </w:pPr>
            <w:r w:rsidRPr="00A578F1">
              <w:rPr>
                <w:rFonts w:ascii="Arial" w:hAnsi="Arial" w:cs="Arial"/>
                <w:b/>
                <w:sz w:val="20"/>
                <w:szCs w:val="20"/>
              </w:rPr>
              <w:t>Date (Durée)</w:t>
            </w:r>
          </w:p>
        </w:tc>
        <w:tc>
          <w:tcPr>
            <w:tcW w:w="578" w:type="dxa"/>
            <w:vMerge w:val="restart"/>
            <w:tcBorders>
              <w:top w:val="nil"/>
              <w:left w:val="nil"/>
              <w:right w:val="nil"/>
            </w:tcBorders>
            <w:shd w:val="clear" w:color="auto" w:fill="FFFFFF" w:themeFill="background1"/>
            <w:textDirection w:val="btLr"/>
            <w:vAlign w:val="center"/>
          </w:tcPr>
          <w:p w14:paraId="60B93912" w14:textId="738D94AF" w:rsidR="003F3253" w:rsidRPr="00A578F1" w:rsidRDefault="003F3253" w:rsidP="00E52988">
            <w:pPr>
              <w:ind w:left="113" w:right="113"/>
              <w:jc w:val="center"/>
              <w:rPr>
                <w:rFonts w:ascii="Arial" w:hAnsi="Arial" w:cs="Arial"/>
                <w:b/>
                <w:sz w:val="20"/>
                <w:szCs w:val="20"/>
              </w:rPr>
            </w:pPr>
            <w:r w:rsidRPr="00A578F1">
              <w:rPr>
                <w:rFonts w:ascii="Arial" w:hAnsi="Arial" w:cs="Arial"/>
                <w:b/>
                <w:sz w:val="20"/>
                <w:szCs w:val="20"/>
              </w:rPr>
              <w:t>Type d’activité</w:t>
            </w:r>
          </w:p>
        </w:tc>
        <w:tc>
          <w:tcPr>
            <w:tcW w:w="2022" w:type="dxa"/>
            <w:vMerge w:val="restart"/>
            <w:tcBorders>
              <w:top w:val="nil"/>
              <w:left w:val="nil"/>
              <w:right w:val="nil"/>
            </w:tcBorders>
            <w:shd w:val="clear" w:color="auto" w:fill="E7E6E6" w:themeFill="background2"/>
            <w:vAlign w:val="center"/>
          </w:tcPr>
          <w:p w14:paraId="3CCF5B9A" w14:textId="432BD51B" w:rsidR="003F3253" w:rsidRPr="00A578F1" w:rsidRDefault="003F3253" w:rsidP="00064BBE">
            <w:pPr>
              <w:jc w:val="center"/>
              <w:rPr>
                <w:rFonts w:ascii="Arial" w:hAnsi="Arial" w:cs="Arial"/>
                <w:b/>
                <w:sz w:val="20"/>
                <w:szCs w:val="20"/>
              </w:rPr>
            </w:pPr>
            <w:r w:rsidRPr="00A578F1">
              <w:rPr>
                <w:rFonts w:ascii="Arial" w:hAnsi="Arial" w:cs="Arial"/>
                <w:b/>
                <w:sz w:val="20"/>
                <w:szCs w:val="20"/>
              </w:rPr>
              <w:t>Titre de l’activité</w:t>
            </w:r>
          </w:p>
        </w:tc>
        <w:tc>
          <w:tcPr>
            <w:tcW w:w="498" w:type="dxa"/>
            <w:tcBorders>
              <w:top w:val="nil"/>
              <w:left w:val="nil"/>
              <w:bottom w:val="nil"/>
              <w:right w:val="nil"/>
            </w:tcBorders>
            <w:shd w:val="clear" w:color="auto" w:fill="FFFFFF" w:themeFill="background1"/>
          </w:tcPr>
          <w:p w14:paraId="7E0FE49D" w14:textId="77777777" w:rsidR="003F3253" w:rsidRPr="00A578F1" w:rsidRDefault="003F3253" w:rsidP="00E52988">
            <w:pPr>
              <w:jc w:val="center"/>
              <w:rPr>
                <w:rFonts w:ascii="Arial" w:hAnsi="Arial" w:cs="Arial"/>
                <w:b/>
                <w:sz w:val="20"/>
                <w:szCs w:val="20"/>
              </w:rPr>
            </w:pPr>
          </w:p>
        </w:tc>
        <w:tc>
          <w:tcPr>
            <w:tcW w:w="7308" w:type="dxa"/>
            <w:gridSpan w:val="2"/>
            <w:tcBorders>
              <w:top w:val="nil"/>
              <w:left w:val="nil"/>
              <w:bottom w:val="nil"/>
              <w:right w:val="single" w:sz="12" w:space="0" w:color="auto"/>
            </w:tcBorders>
            <w:shd w:val="clear" w:color="auto" w:fill="FFFFFF" w:themeFill="background1"/>
            <w:vAlign w:val="center"/>
          </w:tcPr>
          <w:p w14:paraId="748F2230" w14:textId="19DC34BC" w:rsidR="003F3253" w:rsidRPr="00A578F1" w:rsidRDefault="003F3253" w:rsidP="00E52988">
            <w:pPr>
              <w:jc w:val="center"/>
              <w:rPr>
                <w:rFonts w:ascii="Arial" w:hAnsi="Arial" w:cs="Arial"/>
                <w:b/>
                <w:sz w:val="20"/>
                <w:szCs w:val="20"/>
              </w:rPr>
            </w:pPr>
            <w:r w:rsidRPr="00A578F1">
              <w:rPr>
                <w:rFonts w:ascii="Arial" w:hAnsi="Arial" w:cs="Arial"/>
                <w:b/>
                <w:sz w:val="20"/>
                <w:szCs w:val="20"/>
              </w:rPr>
              <w:t>Bulletin officiel</w:t>
            </w:r>
          </w:p>
        </w:tc>
        <w:tc>
          <w:tcPr>
            <w:tcW w:w="4394" w:type="dxa"/>
            <w:gridSpan w:val="3"/>
            <w:vMerge w:val="restart"/>
            <w:tcBorders>
              <w:top w:val="nil"/>
              <w:left w:val="single" w:sz="12" w:space="0" w:color="auto"/>
              <w:right w:val="nil"/>
            </w:tcBorders>
            <w:shd w:val="clear" w:color="auto" w:fill="E7E6E6" w:themeFill="background2"/>
            <w:vAlign w:val="center"/>
          </w:tcPr>
          <w:p w14:paraId="79FA0AA5" w14:textId="40F3C28E" w:rsidR="003F3253" w:rsidRPr="00A578F1" w:rsidRDefault="003F3253" w:rsidP="00E52988">
            <w:pPr>
              <w:jc w:val="center"/>
              <w:rPr>
                <w:rFonts w:ascii="Arial" w:hAnsi="Arial" w:cs="Arial"/>
                <w:b/>
                <w:sz w:val="20"/>
                <w:szCs w:val="20"/>
              </w:rPr>
            </w:pPr>
            <w:r w:rsidRPr="00A578F1">
              <w:rPr>
                <w:rFonts w:ascii="Arial" w:hAnsi="Arial" w:cs="Arial"/>
                <w:b/>
                <w:sz w:val="20"/>
                <w:szCs w:val="20"/>
              </w:rPr>
              <w:t>Travail maison</w:t>
            </w:r>
          </w:p>
        </w:tc>
      </w:tr>
      <w:tr w:rsidR="003F3253" w:rsidRPr="00A578F1" w14:paraId="148F8BB3" w14:textId="77777777" w:rsidTr="00442CDC">
        <w:trPr>
          <w:cantSplit/>
          <w:trHeight w:val="77"/>
        </w:trPr>
        <w:tc>
          <w:tcPr>
            <w:tcW w:w="499" w:type="dxa"/>
            <w:vMerge/>
            <w:tcBorders>
              <w:left w:val="nil"/>
              <w:bottom w:val="thinThickThinSmallGap" w:sz="18" w:space="0" w:color="auto"/>
              <w:right w:val="nil"/>
            </w:tcBorders>
            <w:shd w:val="clear" w:color="auto" w:fill="FFFFFF" w:themeFill="background1"/>
            <w:vAlign w:val="center"/>
          </w:tcPr>
          <w:p w14:paraId="6295F189" w14:textId="77777777" w:rsidR="003F3253" w:rsidRPr="00A578F1" w:rsidRDefault="003F3253" w:rsidP="00E52988">
            <w:pPr>
              <w:jc w:val="center"/>
              <w:rPr>
                <w:rFonts w:ascii="Arial" w:hAnsi="Arial" w:cs="Arial"/>
                <w:b/>
                <w:sz w:val="20"/>
                <w:szCs w:val="20"/>
              </w:rPr>
            </w:pPr>
          </w:p>
        </w:tc>
        <w:tc>
          <w:tcPr>
            <w:tcW w:w="583" w:type="dxa"/>
            <w:vMerge/>
            <w:tcBorders>
              <w:left w:val="nil"/>
              <w:bottom w:val="thinThickThinSmallGap" w:sz="18" w:space="0" w:color="auto"/>
              <w:right w:val="nil"/>
            </w:tcBorders>
            <w:shd w:val="clear" w:color="auto" w:fill="E7E6E6" w:themeFill="background2"/>
            <w:vAlign w:val="center"/>
          </w:tcPr>
          <w:p w14:paraId="2D6008E9" w14:textId="77777777" w:rsidR="003F3253" w:rsidRPr="00A578F1" w:rsidRDefault="003F3253" w:rsidP="00E52988">
            <w:pPr>
              <w:jc w:val="center"/>
              <w:rPr>
                <w:rFonts w:ascii="Arial" w:hAnsi="Arial" w:cs="Arial"/>
                <w:b/>
                <w:sz w:val="20"/>
                <w:szCs w:val="20"/>
              </w:rPr>
            </w:pPr>
          </w:p>
        </w:tc>
        <w:tc>
          <w:tcPr>
            <w:tcW w:w="578" w:type="dxa"/>
            <w:vMerge/>
            <w:tcBorders>
              <w:left w:val="nil"/>
              <w:bottom w:val="thinThickThinSmallGap" w:sz="18" w:space="0" w:color="auto"/>
              <w:right w:val="nil"/>
            </w:tcBorders>
            <w:shd w:val="clear" w:color="auto" w:fill="FFFFFF" w:themeFill="background1"/>
            <w:vAlign w:val="center"/>
          </w:tcPr>
          <w:p w14:paraId="58429AF3" w14:textId="77777777" w:rsidR="003F3253" w:rsidRPr="00A578F1" w:rsidRDefault="003F3253" w:rsidP="00E52988">
            <w:pPr>
              <w:jc w:val="center"/>
              <w:rPr>
                <w:rFonts w:ascii="Arial" w:hAnsi="Arial" w:cs="Arial"/>
                <w:b/>
                <w:sz w:val="20"/>
                <w:szCs w:val="20"/>
              </w:rPr>
            </w:pPr>
          </w:p>
        </w:tc>
        <w:tc>
          <w:tcPr>
            <w:tcW w:w="2022" w:type="dxa"/>
            <w:vMerge/>
            <w:tcBorders>
              <w:left w:val="nil"/>
              <w:bottom w:val="thinThickThinSmallGap" w:sz="18" w:space="0" w:color="auto"/>
              <w:right w:val="nil"/>
            </w:tcBorders>
            <w:shd w:val="clear" w:color="auto" w:fill="E7E6E6" w:themeFill="background2"/>
            <w:vAlign w:val="center"/>
          </w:tcPr>
          <w:p w14:paraId="0E3F40FC" w14:textId="77777777" w:rsidR="003F3253" w:rsidRPr="00A578F1" w:rsidRDefault="003F3253" w:rsidP="00E52988">
            <w:pPr>
              <w:jc w:val="center"/>
              <w:rPr>
                <w:rFonts w:ascii="Arial" w:hAnsi="Arial" w:cs="Arial"/>
                <w:b/>
                <w:sz w:val="20"/>
                <w:szCs w:val="20"/>
              </w:rPr>
            </w:pPr>
          </w:p>
        </w:tc>
        <w:tc>
          <w:tcPr>
            <w:tcW w:w="3837" w:type="dxa"/>
            <w:gridSpan w:val="2"/>
            <w:tcBorders>
              <w:top w:val="nil"/>
              <w:left w:val="nil"/>
              <w:bottom w:val="thinThickThinSmallGap" w:sz="18" w:space="0" w:color="auto"/>
              <w:right w:val="nil"/>
            </w:tcBorders>
            <w:shd w:val="clear" w:color="auto" w:fill="FFFFFF" w:themeFill="background1"/>
            <w:vAlign w:val="bottom"/>
          </w:tcPr>
          <w:p w14:paraId="2BACBBD2" w14:textId="77777777" w:rsidR="003F3253" w:rsidRPr="00A578F1" w:rsidRDefault="003F3253" w:rsidP="00384555">
            <w:pPr>
              <w:jc w:val="center"/>
              <w:rPr>
                <w:rFonts w:ascii="Arial" w:hAnsi="Arial" w:cs="Arial"/>
                <w:b/>
                <w:sz w:val="20"/>
                <w:szCs w:val="20"/>
              </w:rPr>
            </w:pPr>
            <w:r w:rsidRPr="00A578F1">
              <w:rPr>
                <w:rFonts w:ascii="Arial" w:hAnsi="Arial" w:cs="Arial"/>
                <w:b/>
                <w:sz w:val="20"/>
                <w:szCs w:val="20"/>
              </w:rPr>
              <w:t>Savoir</w:t>
            </w:r>
          </w:p>
        </w:tc>
        <w:tc>
          <w:tcPr>
            <w:tcW w:w="3969" w:type="dxa"/>
            <w:tcBorders>
              <w:top w:val="nil"/>
              <w:left w:val="nil"/>
              <w:bottom w:val="thinThickThinSmallGap" w:sz="18" w:space="0" w:color="auto"/>
              <w:right w:val="single" w:sz="12" w:space="0" w:color="auto"/>
            </w:tcBorders>
            <w:shd w:val="clear" w:color="auto" w:fill="FFFFFF" w:themeFill="background1"/>
            <w:vAlign w:val="bottom"/>
          </w:tcPr>
          <w:p w14:paraId="1CAE2A94" w14:textId="77777777" w:rsidR="003F3253" w:rsidRPr="00A578F1" w:rsidRDefault="003F3253" w:rsidP="00384555">
            <w:pPr>
              <w:jc w:val="center"/>
              <w:rPr>
                <w:rFonts w:ascii="Arial" w:hAnsi="Arial" w:cs="Arial"/>
                <w:b/>
                <w:sz w:val="20"/>
                <w:szCs w:val="20"/>
              </w:rPr>
            </w:pPr>
            <w:r w:rsidRPr="00A578F1">
              <w:rPr>
                <w:rFonts w:ascii="Arial" w:hAnsi="Arial" w:cs="Arial"/>
                <w:b/>
                <w:sz w:val="20"/>
                <w:szCs w:val="20"/>
              </w:rPr>
              <w:t>Savoir-faire</w:t>
            </w:r>
          </w:p>
        </w:tc>
        <w:tc>
          <w:tcPr>
            <w:tcW w:w="4394" w:type="dxa"/>
            <w:gridSpan w:val="3"/>
            <w:vMerge/>
            <w:tcBorders>
              <w:left w:val="single" w:sz="12" w:space="0" w:color="auto"/>
              <w:bottom w:val="thinThickThinSmallGap" w:sz="18" w:space="0" w:color="auto"/>
              <w:right w:val="nil"/>
            </w:tcBorders>
            <w:shd w:val="clear" w:color="auto" w:fill="E7E6E6" w:themeFill="background2"/>
          </w:tcPr>
          <w:p w14:paraId="60A42796" w14:textId="053D8B97" w:rsidR="003F3253" w:rsidRPr="00A578F1" w:rsidRDefault="003F3253" w:rsidP="00E52988">
            <w:pPr>
              <w:jc w:val="center"/>
              <w:rPr>
                <w:rFonts w:ascii="Arial" w:hAnsi="Arial" w:cs="Arial"/>
                <w:b/>
                <w:sz w:val="20"/>
                <w:szCs w:val="20"/>
              </w:rPr>
            </w:pPr>
          </w:p>
        </w:tc>
      </w:tr>
      <w:tr w:rsidR="000E2E22" w:rsidRPr="00A578F1" w14:paraId="25E43057" w14:textId="77777777" w:rsidTr="003F3253">
        <w:trPr>
          <w:cantSplit/>
          <w:trHeight w:val="1134"/>
        </w:trPr>
        <w:tc>
          <w:tcPr>
            <w:tcW w:w="499" w:type="dxa"/>
            <w:vMerge w:val="restart"/>
            <w:tcBorders>
              <w:top w:val="thinThickThinSmallGap" w:sz="18" w:space="0" w:color="auto"/>
              <w:left w:val="nil"/>
              <w:right w:val="nil"/>
            </w:tcBorders>
            <w:textDirection w:val="btLr"/>
            <w:vAlign w:val="center"/>
          </w:tcPr>
          <w:p w14:paraId="61EEFC36" w14:textId="5F949D47"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Chapitre 1 : L’organisation de la matière : Les éléments chimiques</w:t>
            </w:r>
          </w:p>
        </w:tc>
        <w:tc>
          <w:tcPr>
            <w:tcW w:w="583" w:type="dxa"/>
            <w:tcBorders>
              <w:top w:val="thinThickThinSmallGap" w:sz="18" w:space="0" w:color="auto"/>
              <w:left w:val="nil"/>
              <w:right w:val="nil"/>
            </w:tcBorders>
            <w:shd w:val="clear" w:color="auto" w:fill="E7E6E6" w:themeFill="background2"/>
            <w:vAlign w:val="center"/>
          </w:tcPr>
          <w:p w14:paraId="284E8793"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67B3D1B7" w14:textId="77777777" w:rsidR="000E2E22" w:rsidRPr="00A578F1" w:rsidRDefault="000E2E22" w:rsidP="00E52988">
            <w:pPr>
              <w:jc w:val="center"/>
              <w:rPr>
                <w:rFonts w:ascii="Arial" w:hAnsi="Arial" w:cs="Arial"/>
                <w:b/>
                <w:sz w:val="20"/>
                <w:szCs w:val="20"/>
              </w:rPr>
            </w:pPr>
          </w:p>
        </w:tc>
        <w:tc>
          <w:tcPr>
            <w:tcW w:w="578" w:type="dxa"/>
            <w:tcBorders>
              <w:top w:val="thinThickThinSmallGap" w:sz="18" w:space="0" w:color="auto"/>
              <w:left w:val="nil"/>
              <w:right w:val="nil"/>
            </w:tcBorders>
            <w:textDirection w:val="btLr"/>
            <w:vAlign w:val="center"/>
          </w:tcPr>
          <w:p w14:paraId="788145F9" w14:textId="41A43F80"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Activité informatique</w:t>
            </w:r>
          </w:p>
        </w:tc>
        <w:tc>
          <w:tcPr>
            <w:tcW w:w="2022" w:type="dxa"/>
            <w:tcBorders>
              <w:top w:val="thinThickThinSmallGap" w:sz="18" w:space="0" w:color="auto"/>
              <w:left w:val="nil"/>
              <w:right w:val="nil"/>
            </w:tcBorders>
            <w:shd w:val="clear" w:color="auto" w:fill="E7E6E6" w:themeFill="background2"/>
            <w:vAlign w:val="center"/>
          </w:tcPr>
          <w:p w14:paraId="12666243" w14:textId="1E4AEFEC" w:rsidR="000E2E22" w:rsidRPr="00A578F1" w:rsidRDefault="000E2E22" w:rsidP="00064BBE">
            <w:pPr>
              <w:jc w:val="center"/>
              <w:rPr>
                <w:rFonts w:ascii="Arial" w:hAnsi="Arial" w:cs="Arial"/>
                <w:b/>
                <w:sz w:val="20"/>
                <w:szCs w:val="20"/>
              </w:rPr>
            </w:pPr>
            <w:r w:rsidRPr="00A578F1">
              <w:rPr>
                <w:rFonts w:ascii="Arial" w:hAnsi="Arial" w:cs="Arial"/>
                <w:b/>
                <w:sz w:val="20"/>
                <w:szCs w:val="20"/>
              </w:rPr>
              <w:t>1. Diversité et origine des éléments chimiques</w:t>
            </w:r>
          </w:p>
        </w:tc>
        <w:tc>
          <w:tcPr>
            <w:tcW w:w="3837" w:type="dxa"/>
            <w:gridSpan w:val="2"/>
            <w:tcBorders>
              <w:top w:val="thinThickThinSmallGap" w:sz="18" w:space="0" w:color="auto"/>
              <w:left w:val="nil"/>
            </w:tcBorders>
          </w:tcPr>
          <w:p w14:paraId="7CD4611A"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Les noyaux des atomes de la centaine d’éléments chimiques stables résultent de réactions nucléaires qui se produisent au sein des étoiles à partir de l’hydrogène initial. La matière connue de l’Univers est formée principalement d’hydrogène et d’hélium alors que la Terre est surtout constituée d’oxygène, d’hydrogène, de fer, de silicium, de magnésium et les êtres vivants de carbone, hydrogène, oxygène et azote.</w:t>
            </w:r>
          </w:p>
        </w:tc>
        <w:tc>
          <w:tcPr>
            <w:tcW w:w="3969" w:type="dxa"/>
            <w:tcBorders>
              <w:top w:val="thinThickThinSmallGap" w:sz="18" w:space="0" w:color="auto"/>
              <w:right w:val="nil"/>
            </w:tcBorders>
          </w:tcPr>
          <w:p w14:paraId="7A9E2E8F" w14:textId="77777777" w:rsidR="000E2E22" w:rsidRPr="00A578F1" w:rsidRDefault="000E2E22" w:rsidP="00524F55">
            <w:pPr>
              <w:rPr>
                <w:rFonts w:ascii="Arial" w:hAnsi="Arial" w:cs="Arial"/>
                <w:sz w:val="20"/>
                <w:szCs w:val="20"/>
              </w:rPr>
            </w:pPr>
            <w:r w:rsidRPr="00A578F1">
              <w:rPr>
                <w:rFonts w:ascii="Arial" w:hAnsi="Arial" w:cs="Arial"/>
                <w:sz w:val="20"/>
                <w:szCs w:val="20"/>
              </w:rPr>
              <w:t>Produire et analyser différentes représentations graphiques de l’abondance des éléments chimiques (proportions) dans l’Univers, la Terre, les êtres vivants.</w:t>
            </w:r>
          </w:p>
          <w:p w14:paraId="216D1791" w14:textId="77777777" w:rsidR="000E2E22" w:rsidRPr="00A578F1" w:rsidRDefault="000E2E22" w:rsidP="00524F55">
            <w:pPr>
              <w:rPr>
                <w:rFonts w:ascii="Arial" w:hAnsi="Arial" w:cs="Arial"/>
                <w:sz w:val="20"/>
                <w:szCs w:val="20"/>
              </w:rPr>
            </w:pPr>
            <w:r w:rsidRPr="00A578F1">
              <w:rPr>
                <w:rFonts w:ascii="Arial" w:hAnsi="Arial" w:cs="Arial"/>
                <w:sz w:val="20"/>
                <w:szCs w:val="20"/>
              </w:rPr>
              <w:t>L’équation d’une réaction nucléaire stellaire étant fournie, reconnaître si celle-ci relève d’une fusion ou d’une fission</w:t>
            </w:r>
          </w:p>
        </w:tc>
        <w:tc>
          <w:tcPr>
            <w:tcW w:w="3398" w:type="dxa"/>
            <w:tcBorders>
              <w:top w:val="thinThickThinSmallGap" w:sz="18" w:space="0" w:color="auto"/>
              <w:right w:val="nil"/>
            </w:tcBorders>
            <w:shd w:val="clear" w:color="auto" w:fill="E7E6E6" w:themeFill="background2"/>
            <w:textDirection w:val="tbRl"/>
          </w:tcPr>
          <w:p w14:paraId="511B0C8E" w14:textId="77777777" w:rsidR="000E2E22" w:rsidRPr="00A578F1" w:rsidRDefault="000E2E22" w:rsidP="004E105C">
            <w:pPr>
              <w:ind w:left="113" w:right="113"/>
              <w:jc w:val="center"/>
              <w:rPr>
                <w:rFonts w:ascii="Arial" w:hAnsi="Arial" w:cs="Arial"/>
                <w:b/>
                <w:sz w:val="20"/>
                <w:szCs w:val="20"/>
              </w:rPr>
            </w:pPr>
          </w:p>
        </w:tc>
        <w:tc>
          <w:tcPr>
            <w:tcW w:w="498" w:type="dxa"/>
            <w:vMerge w:val="restart"/>
            <w:tcBorders>
              <w:top w:val="thinThickThinSmallGap" w:sz="18" w:space="0" w:color="auto"/>
              <w:left w:val="nil"/>
              <w:right w:val="nil"/>
            </w:tcBorders>
            <w:shd w:val="clear" w:color="auto" w:fill="C5E0B3" w:themeFill="accent6" w:themeFillTint="66"/>
            <w:textDirection w:val="tbRl"/>
            <w:vAlign w:val="center"/>
          </w:tcPr>
          <w:p w14:paraId="712DD3A4" w14:textId="64D817EF" w:rsidR="000E2E22" w:rsidRPr="00A578F1" w:rsidRDefault="000E2E22" w:rsidP="004E105C">
            <w:pPr>
              <w:ind w:left="113" w:right="113"/>
              <w:jc w:val="center"/>
              <w:rPr>
                <w:rFonts w:ascii="Arial" w:hAnsi="Arial" w:cs="Arial"/>
                <w:b/>
                <w:sz w:val="20"/>
                <w:szCs w:val="20"/>
              </w:rPr>
            </w:pPr>
            <w:r w:rsidRPr="00A578F1">
              <w:rPr>
                <w:rFonts w:ascii="Arial" w:hAnsi="Arial" w:cs="Arial"/>
                <w:b/>
                <w:sz w:val="20"/>
                <w:szCs w:val="20"/>
              </w:rPr>
              <w:t>1.1- Un niveau d’organisation : les éléments chimiques</w:t>
            </w:r>
          </w:p>
        </w:tc>
        <w:tc>
          <w:tcPr>
            <w:tcW w:w="498" w:type="dxa"/>
            <w:vMerge w:val="restart"/>
            <w:tcBorders>
              <w:top w:val="thinThickThinSmallGap" w:sz="18" w:space="0" w:color="auto"/>
              <w:left w:val="nil"/>
              <w:right w:val="nil"/>
            </w:tcBorders>
            <w:shd w:val="clear" w:color="auto" w:fill="E2EFD9" w:themeFill="accent6" w:themeFillTint="33"/>
            <w:textDirection w:val="tbRl"/>
            <w:vAlign w:val="center"/>
          </w:tcPr>
          <w:p w14:paraId="061D1CBD" w14:textId="77777777" w:rsidR="000E2E22" w:rsidRPr="00A578F1" w:rsidRDefault="000E2E22" w:rsidP="004E105C">
            <w:pPr>
              <w:ind w:left="113" w:right="113"/>
              <w:jc w:val="center"/>
              <w:rPr>
                <w:rFonts w:ascii="Arial" w:hAnsi="Arial" w:cs="Arial"/>
                <w:b/>
                <w:sz w:val="20"/>
                <w:szCs w:val="20"/>
              </w:rPr>
            </w:pPr>
            <w:r w:rsidRPr="00A578F1">
              <w:rPr>
                <w:rFonts w:ascii="Arial" w:hAnsi="Arial" w:cs="Arial"/>
                <w:b/>
                <w:sz w:val="20"/>
                <w:szCs w:val="20"/>
              </w:rPr>
              <w:t>1. Une longue histoire de la matière</w:t>
            </w:r>
          </w:p>
        </w:tc>
      </w:tr>
      <w:tr w:rsidR="000E2E22" w:rsidRPr="00A578F1" w14:paraId="19658D46" w14:textId="77777777" w:rsidTr="003F3253">
        <w:trPr>
          <w:cantSplit/>
          <w:trHeight w:val="1134"/>
        </w:trPr>
        <w:tc>
          <w:tcPr>
            <w:tcW w:w="499" w:type="dxa"/>
            <w:vMerge/>
            <w:tcBorders>
              <w:left w:val="nil"/>
              <w:right w:val="nil"/>
            </w:tcBorders>
            <w:textDirection w:val="btLr"/>
            <w:vAlign w:val="center"/>
          </w:tcPr>
          <w:p w14:paraId="3E1F3D7E" w14:textId="77777777" w:rsidR="000E2E22" w:rsidRPr="00A578F1" w:rsidRDefault="000E2E22" w:rsidP="00E52988">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4F86D3FA"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027F096C" w14:textId="77777777" w:rsidR="000E2E22" w:rsidRPr="00A578F1" w:rsidRDefault="000E2E22" w:rsidP="00E52988">
            <w:pPr>
              <w:jc w:val="center"/>
              <w:rPr>
                <w:rFonts w:ascii="Arial" w:hAnsi="Arial" w:cs="Arial"/>
                <w:b/>
                <w:sz w:val="20"/>
                <w:szCs w:val="20"/>
              </w:rPr>
            </w:pPr>
          </w:p>
        </w:tc>
        <w:tc>
          <w:tcPr>
            <w:tcW w:w="578" w:type="dxa"/>
            <w:tcBorders>
              <w:left w:val="nil"/>
              <w:right w:val="nil"/>
            </w:tcBorders>
            <w:textDirection w:val="btLr"/>
            <w:vAlign w:val="center"/>
          </w:tcPr>
          <w:p w14:paraId="5E99216A" w14:textId="533020DF"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Activité cours</w:t>
            </w:r>
          </w:p>
        </w:tc>
        <w:tc>
          <w:tcPr>
            <w:tcW w:w="2022" w:type="dxa"/>
            <w:tcBorders>
              <w:left w:val="nil"/>
              <w:right w:val="nil"/>
            </w:tcBorders>
            <w:shd w:val="clear" w:color="auto" w:fill="E7E6E6" w:themeFill="background2"/>
            <w:vAlign w:val="center"/>
          </w:tcPr>
          <w:p w14:paraId="33A3CDA8" w14:textId="33FDAB3D" w:rsidR="000E2E22" w:rsidRPr="00A578F1" w:rsidRDefault="000E2E22" w:rsidP="00064BBE">
            <w:pPr>
              <w:jc w:val="center"/>
              <w:rPr>
                <w:rFonts w:ascii="Arial" w:hAnsi="Arial" w:cs="Arial"/>
                <w:b/>
                <w:sz w:val="20"/>
                <w:szCs w:val="20"/>
              </w:rPr>
            </w:pPr>
            <w:r w:rsidRPr="00A578F1">
              <w:rPr>
                <w:rFonts w:ascii="Arial" w:hAnsi="Arial" w:cs="Arial"/>
                <w:b/>
                <w:sz w:val="20"/>
                <w:szCs w:val="20"/>
              </w:rPr>
              <w:t>2. La radioactivité</w:t>
            </w:r>
          </w:p>
        </w:tc>
        <w:tc>
          <w:tcPr>
            <w:tcW w:w="3837" w:type="dxa"/>
            <w:gridSpan w:val="2"/>
            <w:vMerge w:val="restart"/>
            <w:tcBorders>
              <w:left w:val="nil"/>
            </w:tcBorders>
          </w:tcPr>
          <w:p w14:paraId="2E1570F6"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Certains noyaux sont instables et se désintègrent (radioactivité).</w:t>
            </w:r>
          </w:p>
          <w:p w14:paraId="079B596C"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L’instant de désintégration d’un noyau radioactif individuel est aléatoire.</w:t>
            </w:r>
          </w:p>
          <w:p w14:paraId="6DC245B8"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La demi-vie d’un noyau radioactif est la durée nécessaire pour que la moitié des noyaux initialement présents dans un échantillon macroscopique se soit désintégrée.</w:t>
            </w:r>
          </w:p>
          <w:p w14:paraId="50F99A9B"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Cette demi-vie est caractéristique du noyau radioactif.</w:t>
            </w:r>
          </w:p>
        </w:tc>
        <w:tc>
          <w:tcPr>
            <w:tcW w:w="3969" w:type="dxa"/>
            <w:tcBorders>
              <w:right w:val="nil"/>
            </w:tcBorders>
          </w:tcPr>
          <w:p w14:paraId="12AD0267"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 xml:space="preserve">Calculer le nombre de noyaux restants au bout de n demi-vies Estimer la durée nécessaire pour obtenir une certaine proportion de noyaux restants. </w:t>
            </w:r>
          </w:p>
          <w:p w14:paraId="1241F7F2" w14:textId="77777777" w:rsidR="000E2E22" w:rsidRPr="00A578F1" w:rsidRDefault="000E2E22" w:rsidP="00524F55">
            <w:pPr>
              <w:jc w:val="both"/>
              <w:rPr>
                <w:rFonts w:ascii="Arial" w:hAnsi="Arial" w:cs="Arial"/>
                <w:sz w:val="20"/>
                <w:szCs w:val="20"/>
              </w:rPr>
            </w:pPr>
            <w:r w:rsidRPr="00A578F1">
              <w:rPr>
                <w:rFonts w:ascii="Arial" w:hAnsi="Arial" w:cs="Arial"/>
                <w:sz w:val="20"/>
                <w:szCs w:val="20"/>
              </w:rPr>
              <w:t>Utiliser une représentation graphique pour déterminer une demi-vie.</w:t>
            </w:r>
          </w:p>
        </w:tc>
        <w:tc>
          <w:tcPr>
            <w:tcW w:w="3398" w:type="dxa"/>
            <w:tcBorders>
              <w:right w:val="nil"/>
            </w:tcBorders>
            <w:shd w:val="clear" w:color="auto" w:fill="E7E6E6" w:themeFill="background2"/>
            <w:textDirection w:val="tbRl"/>
          </w:tcPr>
          <w:p w14:paraId="12B8BA70" w14:textId="7777777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C5E0B3" w:themeFill="accent6" w:themeFillTint="66"/>
            <w:textDirection w:val="tbRl"/>
            <w:vAlign w:val="center"/>
          </w:tcPr>
          <w:p w14:paraId="07D1C02E" w14:textId="5AABFA93"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14C66035" w14:textId="77777777" w:rsidR="000E2E22" w:rsidRPr="00A578F1" w:rsidRDefault="000E2E22" w:rsidP="004E105C">
            <w:pPr>
              <w:ind w:left="113" w:right="113"/>
              <w:jc w:val="center"/>
              <w:rPr>
                <w:rFonts w:ascii="Arial" w:hAnsi="Arial" w:cs="Arial"/>
                <w:b/>
                <w:sz w:val="20"/>
                <w:szCs w:val="20"/>
              </w:rPr>
            </w:pPr>
          </w:p>
        </w:tc>
      </w:tr>
      <w:tr w:rsidR="000E2E22" w:rsidRPr="00A578F1" w14:paraId="71B6BE84" w14:textId="77777777" w:rsidTr="00A578F1">
        <w:trPr>
          <w:cantSplit/>
          <w:trHeight w:val="1298"/>
        </w:trPr>
        <w:tc>
          <w:tcPr>
            <w:tcW w:w="499" w:type="dxa"/>
            <w:vMerge/>
            <w:tcBorders>
              <w:left w:val="nil"/>
              <w:right w:val="nil"/>
            </w:tcBorders>
            <w:textDirection w:val="btLr"/>
            <w:vAlign w:val="center"/>
          </w:tcPr>
          <w:p w14:paraId="67E97CDC" w14:textId="77777777" w:rsidR="000E2E22" w:rsidRPr="00A578F1" w:rsidRDefault="000E2E22" w:rsidP="00E52988">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0367FA3D"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46F7A25E" w14:textId="77777777" w:rsidR="000E2E22" w:rsidRPr="00A578F1" w:rsidRDefault="000E2E22" w:rsidP="00E52988">
            <w:pPr>
              <w:jc w:val="center"/>
              <w:rPr>
                <w:rFonts w:ascii="Arial" w:hAnsi="Arial" w:cs="Arial"/>
                <w:b/>
                <w:sz w:val="20"/>
                <w:szCs w:val="20"/>
              </w:rPr>
            </w:pPr>
          </w:p>
        </w:tc>
        <w:tc>
          <w:tcPr>
            <w:tcW w:w="578" w:type="dxa"/>
            <w:tcBorders>
              <w:left w:val="nil"/>
              <w:right w:val="nil"/>
            </w:tcBorders>
            <w:textDirection w:val="btLr"/>
            <w:vAlign w:val="center"/>
          </w:tcPr>
          <w:p w14:paraId="251CD06F" w14:textId="59A9D5F6"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RPS</w:t>
            </w:r>
          </w:p>
        </w:tc>
        <w:tc>
          <w:tcPr>
            <w:tcW w:w="2022" w:type="dxa"/>
            <w:tcBorders>
              <w:left w:val="nil"/>
              <w:right w:val="nil"/>
            </w:tcBorders>
            <w:shd w:val="clear" w:color="auto" w:fill="E7E6E6" w:themeFill="background2"/>
            <w:vAlign w:val="center"/>
          </w:tcPr>
          <w:p w14:paraId="5D74F575" w14:textId="797A3C0C" w:rsidR="000E2E22" w:rsidRPr="00A578F1" w:rsidRDefault="000E2E22" w:rsidP="00064BBE">
            <w:pPr>
              <w:jc w:val="center"/>
              <w:rPr>
                <w:rFonts w:ascii="Arial" w:hAnsi="Arial" w:cs="Arial"/>
                <w:b/>
                <w:sz w:val="20"/>
                <w:szCs w:val="20"/>
              </w:rPr>
            </w:pPr>
            <w:r w:rsidRPr="00A578F1">
              <w:rPr>
                <w:rFonts w:ascii="Arial" w:hAnsi="Arial" w:cs="Arial"/>
                <w:b/>
                <w:sz w:val="20"/>
                <w:szCs w:val="20"/>
              </w:rPr>
              <w:t>3. La datation au carbone 14</w:t>
            </w:r>
          </w:p>
        </w:tc>
        <w:tc>
          <w:tcPr>
            <w:tcW w:w="3837" w:type="dxa"/>
            <w:gridSpan w:val="2"/>
            <w:vMerge/>
            <w:tcBorders>
              <w:left w:val="nil"/>
            </w:tcBorders>
          </w:tcPr>
          <w:p w14:paraId="6AF9801D" w14:textId="77777777" w:rsidR="000E2E22" w:rsidRPr="00A578F1" w:rsidRDefault="000E2E22" w:rsidP="00863402">
            <w:pPr>
              <w:rPr>
                <w:rFonts w:ascii="Arial" w:hAnsi="Arial" w:cs="Arial"/>
                <w:sz w:val="20"/>
                <w:szCs w:val="20"/>
              </w:rPr>
            </w:pPr>
          </w:p>
        </w:tc>
        <w:tc>
          <w:tcPr>
            <w:tcW w:w="3969" w:type="dxa"/>
            <w:tcBorders>
              <w:right w:val="nil"/>
            </w:tcBorders>
          </w:tcPr>
          <w:p w14:paraId="00B4C6FC" w14:textId="77777777" w:rsidR="000E2E22" w:rsidRPr="00A578F1" w:rsidRDefault="000E2E22" w:rsidP="00524F55">
            <w:pPr>
              <w:rPr>
                <w:rFonts w:ascii="Arial" w:hAnsi="Arial" w:cs="Arial"/>
                <w:sz w:val="20"/>
                <w:szCs w:val="20"/>
              </w:rPr>
            </w:pPr>
            <w:r w:rsidRPr="00A578F1">
              <w:rPr>
                <w:rFonts w:ascii="Arial" w:hAnsi="Arial" w:cs="Arial"/>
                <w:sz w:val="20"/>
                <w:szCs w:val="20"/>
              </w:rPr>
              <w:t>Utiliser une décroissance radioactive pour une datation (exemple du carbone 14).</w:t>
            </w:r>
          </w:p>
        </w:tc>
        <w:tc>
          <w:tcPr>
            <w:tcW w:w="3398" w:type="dxa"/>
            <w:tcBorders>
              <w:right w:val="nil"/>
            </w:tcBorders>
            <w:shd w:val="clear" w:color="auto" w:fill="E7E6E6" w:themeFill="background2"/>
            <w:textDirection w:val="tbRl"/>
          </w:tcPr>
          <w:p w14:paraId="0C4D59BE" w14:textId="7777777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C5E0B3" w:themeFill="accent6" w:themeFillTint="66"/>
            <w:textDirection w:val="tbRl"/>
            <w:vAlign w:val="center"/>
          </w:tcPr>
          <w:p w14:paraId="32425B22" w14:textId="60893F46"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36AEF9ED" w14:textId="77777777" w:rsidR="000E2E22" w:rsidRPr="00A578F1" w:rsidRDefault="000E2E22" w:rsidP="004E105C">
            <w:pPr>
              <w:ind w:left="113" w:right="113"/>
              <w:jc w:val="center"/>
              <w:rPr>
                <w:rFonts w:ascii="Arial" w:hAnsi="Arial" w:cs="Arial"/>
                <w:b/>
                <w:sz w:val="20"/>
                <w:szCs w:val="20"/>
              </w:rPr>
            </w:pPr>
          </w:p>
        </w:tc>
      </w:tr>
      <w:tr w:rsidR="000E2E22" w:rsidRPr="00A578F1" w14:paraId="296FD91B" w14:textId="77777777" w:rsidTr="00A578F1">
        <w:trPr>
          <w:cantSplit/>
          <w:trHeight w:val="1699"/>
        </w:trPr>
        <w:tc>
          <w:tcPr>
            <w:tcW w:w="499" w:type="dxa"/>
            <w:vMerge/>
            <w:tcBorders>
              <w:left w:val="nil"/>
              <w:right w:val="nil"/>
            </w:tcBorders>
            <w:textDirection w:val="btLr"/>
            <w:vAlign w:val="center"/>
          </w:tcPr>
          <w:p w14:paraId="487790A4" w14:textId="77777777" w:rsidR="000E2E22" w:rsidRPr="00A578F1" w:rsidRDefault="000E2E22" w:rsidP="00E52988">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2DF4BB8C" w14:textId="24C6DCEC"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3FC9ED9F" w14:textId="43161876" w:rsidR="000E2E22" w:rsidRPr="00A578F1" w:rsidRDefault="000E2E22" w:rsidP="00064BBE">
            <w:pPr>
              <w:jc w:val="center"/>
              <w:rPr>
                <w:rFonts w:ascii="Arial" w:hAnsi="Arial" w:cs="Arial"/>
                <w:b/>
                <w:sz w:val="20"/>
                <w:szCs w:val="20"/>
              </w:rPr>
            </w:pPr>
            <w:r w:rsidRPr="00A578F1">
              <w:rPr>
                <w:rFonts w:ascii="Arial" w:hAnsi="Arial" w:cs="Arial"/>
                <w:b/>
                <w:sz w:val="20"/>
                <w:szCs w:val="20"/>
              </w:rPr>
              <w:t>Evaluation 1</w:t>
            </w:r>
          </w:p>
        </w:tc>
        <w:tc>
          <w:tcPr>
            <w:tcW w:w="7806" w:type="dxa"/>
            <w:gridSpan w:val="3"/>
            <w:tcBorders>
              <w:left w:val="nil"/>
              <w:right w:val="nil"/>
            </w:tcBorders>
            <w:shd w:val="clear" w:color="auto" w:fill="E7E6E6" w:themeFill="background2"/>
          </w:tcPr>
          <w:p w14:paraId="6283F7D4" w14:textId="2FDBD906" w:rsidR="000E2E22" w:rsidRPr="00A578F1" w:rsidRDefault="000E2E22" w:rsidP="00524F55">
            <w:pPr>
              <w:rPr>
                <w:rFonts w:ascii="Arial" w:hAnsi="Arial" w:cs="Arial"/>
                <w:sz w:val="20"/>
                <w:szCs w:val="20"/>
              </w:rPr>
            </w:pPr>
          </w:p>
        </w:tc>
        <w:tc>
          <w:tcPr>
            <w:tcW w:w="3398" w:type="dxa"/>
            <w:tcBorders>
              <w:left w:val="nil"/>
              <w:right w:val="nil"/>
            </w:tcBorders>
            <w:shd w:val="clear" w:color="auto" w:fill="E7E6E6" w:themeFill="background2"/>
            <w:textDirection w:val="tbRl"/>
          </w:tcPr>
          <w:p w14:paraId="00D3FB03" w14:textId="7777777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C5E0B3" w:themeFill="accent6" w:themeFillTint="66"/>
            <w:textDirection w:val="tbRl"/>
            <w:vAlign w:val="center"/>
          </w:tcPr>
          <w:p w14:paraId="7BC75C66" w14:textId="1547DC1D"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2A30B3D6" w14:textId="77777777" w:rsidR="000E2E22" w:rsidRPr="00A578F1" w:rsidRDefault="000E2E22" w:rsidP="004E105C">
            <w:pPr>
              <w:ind w:left="113" w:right="113"/>
              <w:jc w:val="center"/>
              <w:rPr>
                <w:rFonts w:ascii="Arial" w:hAnsi="Arial" w:cs="Arial"/>
                <w:b/>
                <w:sz w:val="20"/>
                <w:szCs w:val="20"/>
              </w:rPr>
            </w:pPr>
          </w:p>
        </w:tc>
      </w:tr>
      <w:tr w:rsidR="000E2E22" w:rsidRPr="00A578F1" w14:paraId="75BA071B" w14:textId="77777777" w:rsidTr="003F3253">
        <w:trPr>
          <w:cantSplit/>
          <w:trHeight w:val="1134"/>
        </w:trPr>
        <w:tc>
          <w:tcPr>
            <w:tcW w:w="499" w:type="dxa"/>
            <w:vMerge w:val="restart"/>
            <w:tcBorders>
              <w:left w:val="nil"/>
              <w:right w:val="nil"/>
            </w:tcBorders>
            <w:textDirection w:val="btLr"/>
            <w:vAlign w:val="center"/>
          </w:tcPr>
          <w:p w14:paraId="0AB7C624" w14:textId="2A30BCE0"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lastRenderedPageBreak/>
              <w:t xml:space="preserve">Chapitre 2 : </w:t>
            </w:r>
          </w:p>
        </w:tc>
        <w:tc>
          <w:tcPr>
            <w:tcW w:w="583" w:type="dxa"/>
            <w:tcBorders>
              <w:left w:val="nil"/>
              <w:right w:val="nil"/>
            </w:tcBorders>
            <w:shd w:val="clear" w:color="auto" w:fill="E7E6E6" w:themeFill="background2"/>
            <w:vAlign w:val="center"/>
          </w:tcPr>
          <w:p w14:paraId="4739140A"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73C2AFFA" w14:textId="77777777" w:rsidR="000E2E22" w:rsidRPr="00A578F1" w:rsidRDefault="000E2E22" w:rsidP="00E52988">
            <w:pPr>
              <w:jc w:val="center"/>
              <w:rPr>
                <w:rFonts w:ascii="Arial" w:hAnsi="Arial" w:cs="Arial"/>
                <w:b/>
                <w:sz w:val="20"/>
                <w:szCs w:val="20"/>
              </w:rPr>
            </w:pPr>
          </w:p>
        </w:tc>
        <w:tc>
          <w:tcPr>
            <w:tcW w:w="578" w:type="dxa"/>
            <w:tcBorders>
              <w:left w:val="nil"/>
              <w:right w:val="nil"/>
            </w:tcBorders>
            <w:textDirection w:val="btLr"/>
            <w:vAlign w:val="center"/>
          </w:tcPr>
          <w:p w14:paraId="0EE5FCB0" w14:textId="023849E3"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left w:val="nil"/>
              <w:right w:val="nil"/>
            </w:tcBorders>
            <w:shd w:val="clear" w:color="auto" w:fill="E7E6E6" w:themeFill="background2"/>
            <w:vAlign w:val="center"/>
          </w:tcPr>
          <w:p w14:paraId="76F4F2EE" w14:textId="77777777" w:rsidR="000E2E22" w:rsidRPr="00A578F1" w:rsidRDefault="000E2E22" w:rsidP="00A50B1F">
            <w:pPr>
              <w:rPr>
                <w:rFonts w:ascii="Arial" w:hAnsi="Arial" w:cs="Arial"/>
                <w:b/>
                <w:sz w:val="20"/>
                <w:szCs w:val="20"/>
              </w:rPr>
            </w:pPr>
            <w:r w:rsidRPr="00A578F1">
              <w:rPr>
                <w:rFonts w:ascii="Arial" w:hAnsi="Arial" w:cs="Arial"/>
                <w:b/>
                <w:sz w:val="20"/>
                <w:szCs w:val="20"/>
              </w:rPr>
              <w:t xml:space="preserve">4. La cristallisation du chlorure de sodium </w:t>
            </w:r>
          </w:p>
          <w:p w14:paraId="281BB0F3" w14:textId="7B25EF36" w:rsidR="000E2E22" w:rsidRPr="00A578F1" w:rsidRDefault="000E2E22" w:rsidP="00A50B1F">
            <w:pPr>
              <w:rPr>
                <w:rFonts w:ascii="Arial" w:hAnsi="Arial" w:cs="Arial"/>
                <w:b/>
                <w:sz w:val="20"/>
                <w:szCs w:val="20"/>
              </w:rPr>
            </w:pPr>
            <w:r w:rsidRPr="00A578F1">
              <w:rPr>
                <w:rFonts w:ascii="Arial" w:hAnsi="Arial" w:cs="Arial"/>
                <w:b/>
                <w:sz w:val="20"/>
                <w:szCs w:val="20"/>
              </w:rPr>
              <w:t>(Du macroscopique au microscopique)</w:t>
            </w:r>
          </w:p>
        </w:tc>
        <w:tc>
          <w:tcPr>
            <w:tcW w:w="3837" w:type="dxa"/>
            <w:gridSpan w:val="2"/>
            <w:tcBorders>
              <w:left w:val="nil"/>
            </w:tcBorders>
          </w:tcPr>
          <w:p w14:paraId="496018EB" w14:textId="77777777" w:rsidR="000E2E22" w:rsidRPr="000F7865" w:rsidRDefault="000E2E22" w:rsidP="00524F55">
            <w:pPr>
              <w:pStyle w:val="Default"/>
              <w:rPr>
                <w:sz w:val="20"/>
                <w:szCs w:val="20"/>
              </w:rPr>
            </w:pPr>
            <w:r w:rsidRPr="000F7865">
              <w:rPr>
                <w:sz w:val="20"/>
                <w:szCs w:val="20"/>
              </w:rPr>
              <w:t xml:space="preserve">Le chlorure de sodium solide (présent dans les roches, ou issu de l’évaporation de l’eau de mer) est constitué d’un empilement régulier d’ions : c’est l’état cristallin. </w:t>
            </w:r>
          </w:p>
          <w:p w14:paraId="06A8C385" w14:textId="77777777" w:rsidR="000E2E22" w:rsidRPr="000F7865" w:rsidRDefault="000E2E22" w:rsidP="00863402">
            <w:pPr>
              <w:rPr>
                <w:rFonts w:ascii="Arial" w:hAnsi="Arial" w:cs="Arial"/>
                <w:sz w:val="20"/>
                <w:szCs w:val="20"/>
              </w:rPr>
            </w:pPr>
          </w:p>
        </w:tc>
        <w:tc>
          <w:tcPr>
            <w:tcW w:w="3969" w:type="dxa"/>
            <w:tcBorders>
              <w:right w:val="nil"/>
            </w:tcBorders>
          </w:tcPr>
          <w:p w14:paraId="1361781F" w14:textId="77777777" w:rsidR="000E2E22" w:rsidRPr="000F7865" w:rsidRDefault="000E2E22" w:rsidP="00524F55">
            <w:pPr>
              <w:pStyle w:val="Default"/>
              <w:rPr>
                <w:sz w:val="20"/>
                <w:szCs w:val="20"/>
              </w:rPr>
            </w:pPr>
            <w:r w:rsidRPr="000F7865">
              <w:rPr>
                <w:sz w:val="20"/>
                <w:szCs w:val="20"/>
              </w:rPr>
              <w:t xml:space="preserve">Utiliser une représentation 3D informatisée du cristal de chlorure de sodium. </w:t>
            </w:r>
          </w:p>
          <w:p w14:paraId="1D49F696" w14:textId="77777777" w:rsidR="000E2E22" w:rsidRPr="000F7865" w:rsidRDefault="000E2E22" w:rsidP="00524F55">
            <w:pPr>
              <w:rPr>
                <w:rFonts w:ascii="Arial" w:hAnsi="Arial" w:cs="Arial"/>
                <w:sz w:val="20"/>
                <w:szCs w:val="20"/>
              </w:rPr>
            </w:pPr>
            <w:r w:rsidRPr="000F7865">
              <w:rPr>
                <w:rFonts w:ascii="Arial" w:hAnsi="Arial" w:cs="Arial"/>
                <w:sz w:val="20"/>
                <w:szCs w:val="20"/>
              </w:rPr>
              <w:t xml:space="preserve">Relier l’organisation de la maille au niveau microscopique à la structure du cristal au niveau macroscopique. </w:t>
            </w:r>
          </w:p>
        </w:tc>
        <w:tc>
          <w:tcPr>
            <w:tcW w:w="3398" w:type="dxa"/>
            <w:tcBorders>
              <w:right w:val="nil"/>
            </w:tcBorders>
            <w:shd w:val="clear" w:color="auto" w:fill="E7E6E6" w:themeFill="background2"/>
            <w:textDirection w:val="tbRl"/>
          </w:tcPr>
          <w:p w14:paraId="6AE4711E" w14:textId="77777777" w:rsidR="000E2E22" w:rsidRPr="00A578F1" w:rsidRDefault="000E2E22" w:rsidP="004E105C">
            <w:pPr>
              <w:ind w:left="113" w:right="113"/>
              <w:jc w:val="center"/>
              <w:rPr>
                <w:rFonts w:ascii="Arial" w:hAnsi="Arial" w:cs="Arial"/>
                <w:b/>
                <w:sz w:val="20"/>
                <w:szCs w:val="20"/>
              </w:rPr>
            </w:pPr>
          </w:p>
        </w:tc>
        <w:tc>
          <w:tcPr>
            <w:tcW w:w="498" w:type="dxa"/>
            <w:vMerge w:val="restart"/>
            <w:tcBorders>
              <w:left w:val="nil"/>
              <w:right w:val="nil"/>
            </w:tcBorders>
            <w:shd w:val="clear" w:color="auto" w:fill="A8D08D" w:themeFill="accent6" w:themeFillTint="99"/>
            <w:textDirection w:val="tbRl"/>
            <w:vAlign w:val="center"/>
          </w:tcPr>
          <w:p w14:paraId="39858A3F" w14:textId="0678FF3D" w:rsidR="000E2E22" w:rsidRPr="00A578F1" w:rsidRDefault="000E2E22" w:rsidP="004E105C">
            <w:pPr>
              <w:ind w:left="113" w:right="113"/>
              <w:jc w:val="center"/>
              <w:rPr>
                <w:rFonts w:ascii="Arial" w:hAnsi="Arial" w:cs="Arial"/>
                <w:b/>
                <w:sz w:val="20"/>
                <w:szCs w:val="20"/>
              </w:rPr>
            </w:pPr>
            <w:r w:rsidRPr="00A578F1">
              <w:rPr>
                <w:rFonts w:ascii="Arial" w:hAnsi="Arial" w:cs="Arial"/>
                <w:b/>
                <w:sz w:val="20"/>
                <w:szCs w:val="20"/>
              </w:rPr>
              <w:t>1.2- Des édifices ordonnés : les cristaux</w:t>
            </w:r>
          </w:p>
        </w:tc>
        <w:tc>
          <w:tcPr>
            <w:tcW w:w="498" w:type="dxa"/>
            <w:vMerge/>
            <w:tcBorders>
              <w:left w:val="nil"/>
              <w:right w:val="nil"/>
            </w:tcBorders>
            <w:shd w:val="clear" w:color="auto" w:fill="E2EFD9" w:themeFill="accent6" w:themeFillTint="33"/>
            <w:textDirection w:val="tbRl"/>
            <w:vAlign w:val="center"/>
          </w:tcPr>
          <w:p w14:paraId="53155DBD" w14:textId="77777777" w:rsidR="000E2E22" w:rsidRPr="00A578F1" w:rsidRDefault="000E2E22" w:rsidP="004E105C">
            <w:pPr>
              <w:ind w:left="113" w:right="113"/>
              <w:jc w:val="center"/>
              <w:rPr>
                <w:rFonts w:ascii="Arial" w:hAnsi="Arial" w:cs="Arial"/>
                <w:b/>
                <w:sz w:val="20"/>
                <w:szCs w:val="20"/>
              </w:rPr>
            </w:pPr>
          </w:p>
        </w:tc>
      </w:tr>
      <w:tr w:rsidR="000E2E22" w:rsidRPr="00A578F1" w14:paraId="29E0CE09" w14:textId="77777777" w:rsidTr="00A578F1">
        <w:trPr>
          <w:cantSplit/>
          <w:trHeight w:val="1576"/>
        </w:trPr>
        <w:tc>
          <w:tcPr>
            <w:tcW w:w="499" w:type="dxa"/>
            <w:vMerge/>
            <w:tcBorders>
              <w:left w:val="nil"/>
              <w:right w:val="nil"/>
            </w:tcBorders>
            <w:textDirection w:val="btLr"/>
            <w:vAlign w:val="center"/>
          </w:tcPr>
          <w:p w14:paraId="7CAF82C7" w14:textId="77777777" w:rsidR="000E2E22" w:rsidRPr="00A578F1" w:rsidRDefault="000E2E22" w:rsidP="00E52988">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743902C0"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4A2B86B2" w14:textId="77777777" w:rsidR="000E2E22" w:rsidRPr="00A578F1" w:rsidRDefault="000E2E22" w:rsidP="00E52988">
            <w:pPr>
              <w:jc w:val="center"/>
              <w:rPr>
                <w:rFonts w:ascii="Arial" w:hAnsi="Arial" w:cs="Arial"/>
                <w:b/>
                <w:sz w:val="20"/>
                <w:szCs w:val="20"/>
              </w:rPr>
            </w:pPr>
          </w:p>
        </w:tc>
        <w:tc>
          <w:tcPr>
            <w:tcW w:w="578" w:type="dxa"/>
            <w:tcBorders>
              <w:left w:val="nil"/>
              <w:right w:val="nil"/>
            </w:tcBorders>
            <w:textDirection w:val="btLr"/>
            <w:vAlign w:val="center"/>
          </w:tcPr>
          <w:p w14:paraId="02DB39C1" w14:textId="79BA8444"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Activité cours</w:t>
            </w:r>
          </w:p>
        </w:tc>
        <w:tc>
          <w:tcPr>
            <w:tcW w:w="2022" w:type="dxa"/>
            <w:tcBorders>
              <w:left w:val="nil"/>
              <w:right w:val="nil"/>
            </w:tcBorders>
            <w:shd w:val="clear" w:color="auto" w:fill="E7E6E6" w:themeFill="background2"/>
            <w:vAlign w:val="center"/>
          </w:tcPr>
          <w:p w14:paraId="2F43417C" w14:textId="4DA150B9" w:rsidR="000E2E22" w:rsidRPr="00A578F1" w:rsidRDefault="000E2E22" w:rsidP="00A50B1F">
            <w:pPr>
              <w:rPr>
                <w:rFonts w:ascii="Arial" w:hAnsi="Arial" w:cs="Arial"/>
                <w:b/>
                <w:sz w:val="20"/>
                <w:szCs w:val="20"/>
              </w:rPr>
            </w:pPr>
            <w:r w:rsidRPr="00A578F1">
              <w:rPr>
                <w:rFonts w:ascii="Arial" w:hAnsi="Arial" w:cs="Arial"/>
                <w:b/>
                <w:sz w:val="20"/>
                <w:szCs w:val="20"/>
              </w:rPr>
              <w:t>5. Etude de mailles cristallines ??</w:t>
            </w:r>
          </w:p>
        </w:tc>
        <w:tc>
          <w:tcPr>
            <w:tcW w:w="3837" w:type="dxa"/>
            <w:gridSpan w:val="2"/>
            <w:vMerge w:val="restart"/>
            <w:tcBorders>
              <w:left w:val="nil"/>
            </w:tcBorders>
          </w:tcPr>
          <w:p w14:paraId="4233F782" w14:textId="77777777" w:rsidR="000E2E22" w:rsidRPr="000F7865" w:rsidRDefault="000E2E22" w:rsidP="00524F55">
            <w:pPr>
              <w:pStyle w:val="Default"/>
              <w:rPr>
                <w:sz w:val="20"/>
                <w:szCs w:val="20"/>
              </w:rPr>
            </w:pPr>
            <w:r w:rsidRPr="000F7865">
              <w:rPr>
                <w:sz w:val="20"/>
                <w:szCs w:val="20"/>
              </w:rPr>
              <w:t xml:space="preserve">Plus généralement, une structure cristalline est définie par une maille élémentaire répétée périodiquement. Un type cristallin est défini par la forme géométrique de la maille, la nature et la position dans cette maille des entités qui le constituent. </w:t>
            </w:r>
          </w:p>
          <w:p w14:paraId="5EAB0F51" w14:textId="53248E04" w:rsidR="000E2E22" w:rsidRPr="000F7865" w:rsidRDefault="000E2E22" w:rsidP="00524F55">
            <w:pPr>
              <w:pStyle w:val="Default"/>
              <w:rPr>
                <w:sz w:val="20"/>
                <w:szCs w:val="20"/>
              </w:rPr>
            </w:pPr>
            <w:r w:rsidRPr="000F7865">
              <w:rPr>
                <w:sz w:val="20"/>
                <w:szCs w:val="20"/>
              </w:rPr>
              <w:t xml:space="preserve">Les cristaux les plus simples peuvent être décrits par une maille cubique que la géométrie du cube permet de caractériser. La position des entités dans cette maille distingue les réseaux cubiques simples et cubique à faces centrées. </w:t>
            </w:r>
          </w:p>
          <w:p w14:paraId="63776F24" w14:textId="77777777" w:rsidR="000E2E22" w:rsidRPr="000F7865" w:rsidRDefault="000E2E22" w:rsidP="00524F55">
            <w:pPr>
              <w:rPr>
                <w:rFonts w:ascii="Arial" w:hAnsi="Arial" w:cs="Arial"/>
                <w:sz w:val="20"/>
                <w:szCs w:val="20"/>
              </w:rPr>
            </w:pPr>
            <w:r w:rsidRPr="000F7865">
              <w:rPr>
                <w:rFonts w:ascii="Arial" w:hAnsi="Arial" w:cs="Arial"/>
                <w:sz w:val="20"/>
                <w:szCs w:val="20"/>
              </w:rPr>
              <w:t xml:space="preserve">La structure microscopique du cristal conditionne certaines de ses propriétés macroscopiques, dont sa masse volumique. </w:t>
            </w:r>
          </w:p>
        </w:tc>
        <w:tc>
          <w:tcPr>
            <w:tcW w:w="3969" w:type="dxa"/>
            <w:vMerge w:val="restart"/>
            <w:tcBorders>
              <w:right w:val="nil"/>
            </w:tcBorders>
          </w:tcPr>
          <w:p w14:paraId="77EF9450" w14:textId="77777777" w:rsidR="000E2E22" w:rsidRPr="000F7865" w:rsidRDefault="000E2E22" w:rsidP="00524F55">
            <w:pPr>
              <w:pStyle w:val="Default"/>
              <w:rPr>
                <w:sz w:val="20"/>
                <w:szCs w:val="20"/>
              </w:rPr>
            </w:pPr>
            <w:r w:rsidRPr="000F7865">
              <w:rPr>
                <w:sz w:val="20"/>
                <w:szCs w:val="20"/>
              </w:rPr>
              <w:t xml:space="preserve">Pour chacun des deux réseaux (cubique simple et cubique à faces centrées) : </w:t>
            </w:r>
          </w:p>
          <w:p w14:paraId="3D19B1E8" w14:textId="77777777" w:rsidR="000E2E22" w:rsidRPr="000F7865" w:rsidRDefault="000E2E22" w:rsidP="00524F55">
            <w:pPr>
              <w:pStyle w:val="Default"/>
              <w:rPr>
                <w:sz w:val="20"/>
                <w:szCs w:val="20"/>
              </w:rPr>
            </w:pPr>
            <w:r w:rsidRPr="000F7865">
              <w:rPr>
                <w:b/>
                <w:bCs/>
                <w:sz w:val="20"/>
                <w:szCs w:val="20"/>
              </w:rPr>
              <w:t xml:space="preserve">- </w:t>
            </w:r>
            <w:r w:rsidRPr="000F7865">
              <w:rPr>
                <w:sz w:val="20"/>
                <w:szCs w:val="20"/>
              </w:rPr>
              <w:t xml:space="preserve">représenter la maille en perspective cavalière ; </w:t>
            </w:r>
          </w:p>
          <w:p w14:paraId="1DCADA0A" w14:textId="77777777" w:rsidR="000E2E22" w:rsidRPr="000F7865" w:rsidRDefault="000E2E22" w:rsidP="00524F55">
            <w:pPr>
              <w:pStyle w:val="Default"/>
              <w:rPr>
                <w:sz w:val="20"/>
                <w:szCs w:val="20"/>
              </w:rPr>
            </w:pPr>
            <w:r w:rsidRPr="000F7865">
              <w:rPr>
                <w:b/>
                <w:bCs/>
                <w:sz w:val="20"/>
                <w:szCs w:val="20"/>
              </w:rPr>
              <w:t xml:space="preserve">- </w:t>
            </w:r>
            <w:r w:rsidRPr="000F7865">
              <w:rPr>
                <w:sz w:val="20"/>
                <w:szCs w:val="20"/>
              </w:rPr>
              <w:t xml:space="preserve">calculer la compacité dans le cas d’entités chimiques sphériques tangentes ; </w:t>
            </w:r>
          </w:p>
          <w:p w14:paraId="0A1B736C" w14:textId="77777777" w:rsidR="000E2E22" w:rsidRPr="000F7865" w:rsidRDefault="000E2E22" w:rsidP="00524F55">
            <w:pPr>
              <w:pStyle w:val="Default"/>
              <w:rPr>
                <w:sz w:val="20"/>
                <w:szCs w:val="20"/>
              </w:rPr>
            </w:pPr>
            <w:r w:rsidRPr="000F7865">
              <w:rPr>
                <w:b/>
                <w:bCs/>
                <w:sz w:val="20"/>
                <w:szCs w:val="20"/>
              </w:rPr>
              <w:t xml:space="preserve">- </w:t>
            </w:r>
            <w:r w:rsidRPr="000F7865">
              <w:rPr>
                <w:sz w:val="20"/>
                <w:szCs w:val="20"/>
              </w:rPr>
              <w:t xml:space="preserve">dénombrer les atomes par maille et calculer la masse volumique du cristal. </w:t>
            </w:r>
          </w:p>
          <w:p w14:paraId="5A27BC24" w14:textId="77777777" w:rsidR="000E2E22" w:rsidRPr="000F7865" w:rsidRDefault="000E2E22" w:rsidP="004E105C">
            <w:pPr>
              <w:rPr>
                <w:rFonts w:ascii="Arial" w:hAnsi="Arial" w:cs="Arial"/>
                <w:sz w:val="20"/>
                <w:szCs w:val="20"/>
              </w:rPr>
            </w:pPr>
          </w:p>
        </w:tc>
        <w:tc>
          <w:tcPr>
            <w:tcW w:w="3398" w:type="dxa"/>
            <w:tcBorders>
              <w:right w:val="nil"/>
            </w:tcBorders>
            <w:shd w:val="clear" w:color="auto" w:fill="E7E6E6" w:themeFill="background2"/>
            <w:textDirection w:val="tbRl"/>
          </w:tcPr>
          <w:p w14:paraId="648F94F3" w14:textId="7777777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A8D08D" w:themeFill="accent6" w:themeFillTint="99"/>
            <w:textDirection w:val="tbRl"/>
            <w:vAlign w:val="center"/>
          </w:tcPr>
          <w:p w14:paraId="41699CFA" w14:textId="01F30EE8"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0BB7EBE1" w14:textId="77777777" w:rsidR="000E2E22" w:rsidRPr="00A578F1" w:rsidRDefault="000E2E22" w:rsidP="004E105C">
            <w:pPr>
              <w:ind w:left="113" w:right="113"/>
              <w:jc w:val="center"/>
              <w:rPr>
                <w:rFonts w:ascii="Arial" w:hAnsi="Arial" w:cs="Arial"/>
                <w:b/>
                <w:sz w:val="20"/>
                <w:szCs w:val="20"/>
              </w:rPr>
            </w:pPr>
          </w:p>
        </w:tc>
      </w:tr>
      <w:tr w:rsidR="000E2E22" w:rsidRPr="00A578F1" w14:paraId="1AAB2BB6" w14:textId="77777777" w:rsidTr="003F3253">
        <w:trPr>
          <w:cantSplit/>
          <w:trHeight w:val="1134"/>
        </w:trPr>
        <w:tc>
          <w:tcPr>
            <w:tcW w:w="499" w:type="dxa"/>
            <w:vMerge/>
            <w:tcBorders>
              <w:left w:val="nil"/>
              <w:right w:val="nil"/>
            </w:tcBorders>
            <w:textDirection w:val="btLr"/>
            <w:vAlign w:val="center"/>
          </w:tcPr>
          <w:p w14:paraId="304D0B0F" w14:textId="77777777" w:rsidR="000E2E22" w:rsidRPr="00A578F1" w:rsidRDefault="000E2E22" w:rsidP="00E52988">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16AE057C" w14:textId="77777777" w:rsidR="000E2E22" w:rsidRPr="00A578F1" w:rsidRDefault="000E2E22" w:rsidP="00E52988">
            <w:pPr>
              <w:jc w:val="center"/>
              <w:rPr>
                <w:rFonts w:ascii="Arial" w:hAnsi="Arial" w:cs="Arial"/>
                <w:b/>
                <w:sz w:val="20"/>
                <w:szCs w:val="20"/>
              </w:rPr>
            </w:pPr>
            <w:r w:rsidRPr="00A578F1">
              <w:rPr>
                <w:rFonts w:ascii="Arial" w:hAnsi="Arial" w:cs="Arial"/>
                <w:b/>
                <w:sz w:val="20"/>
                <w:szCs w:val="20"/>
              </w:rPr>
              <w:t>(1h)</w:t>
            </w:r>
          </w:p>
          <w:p w14:paraId="2D152104" w14:textId="77777777" w:rsidR="000E2E22" w:rsidRPr="00A578F1" w:rsidRDefault="000E2E22" w:rsidP="00E52988">
            <w:pPr>
              <w:jc w:val="center"/>
              <w:rPr>
                <w:rFonts w:ascii="Arial" w:hAnsi="Arial" w:cs="Arial"/>
                <w:b/>
                <w:sz w:val="20"/>
                <w:szCs w:val="20"/>
              </w:rPr>
            </w:pPr>
          </w:p>
        </w:tc>
        <w:tc>
          <w:tcPr>
            <w:tcW w:w="578" w:type="dxa"/>
            <w:tcBorders>
              <w:left w:val="nil"/>
              <w:right w:val="nil"/>
            </w:tcBorders>
            <w:textDirection w:val="btLr"/>
            <w:vAlign w:val="center"/>
          </w:tcPr>
          <w:p w14:paraId="1EA06E6C" w14:textId="06B6BCC8" w:rsidR="000E2E22" w:rsidRPr="00A578F1" w:rsidRDefault="000E2E22" w:rsidP="00E52988">
            <w:pPr>
              <w:ind w:left="113" w:right="113"/>
              <w:jc w:val="center"/>
              <w:rPr>
                <w:rFonts w:ascii="Arial" w:hAnsi="Arial" w:cs="Arial"/>
                <w:b/>
                <w:sz w:val="20"/>
                <w:szCs w:val="20"/>
              </w:rPr>
            </w:pPr>
            <w:r w:rsidRPr="00A578F1">
              <w:rPr>
                <w:rFonts w:ascii="Arial" w:hAnsi="Arial" w:cs="Arial"/>
                <w:b/>
                <w:sz w:val="20"/>
                <w:szCs w:val="20"/>
              </w:rPr>
              <w:t>RPS</w:t>
            </w:r>
          </w:p>
        </w:tc>
        <w:tc>
          <w:tcPr>
            <w:tcW w:w="2022" w:type="dxa"/>
            <w:tcBorders>
              <w:left w:val="nil"/>
              <w:right w:val="nil"/>
            </w:tcBorders>
            <w:shd w:val="clear" w:color="auto" w:fill="E7E6E6" w:themeFill="background2"/>
            <w:vAlign w:val="center"/>
          </w:tcPr>
          <w:p w14:paraId="0BB8E228" w14:textId="0DAC02E9" w:rsidR="000E2E22" w:rsidRPr="00A578F1" w:rsidRDefault="000E2E22" w:rsidP="00A50B1F">
            <w:pPr>
              <w:rPr>
                <w:rFonts w:ascii="Arial" w:hAnsi="Arial" w:cs="Arial"/>
                <w:b/>
                <w:sz w:val="20"/>
                <w:szCs w:val="20"/>
              </w:rPr>
            </w:pPr>
            <w:r w:rsidRPr="00A578F1">
              <w:rPr>
                <w:rFonts w:ascii="Arial" w:hAnsi="Arial" w:cs="Arial"/>
                <w:b/>
                <w:sz w:val="20"/>
                <w:szCs w:val="20"/>
              </w:rPr>
              <w:t xml:space="preserve">6. </w:t>
            </w:r>
          </w:p>
        </w:tc>
        <w:tc>
          <w:tcPr>
            <w:tcW w:w="3837" w:type="dxa"/>
            <w:gridSpan w:val="2"/>
            <w:vMerge/>
            <w:tcBorders>
              <w:left w:val="nil"/>
            </w:tcBorders>
          </w:tcPr>
          <w:p w14:paraId="4EC8BF7E" w14:textId="77777777" w:rsidR="000E2E22" w:rsidRPr="000F7865" w:rsidRDefault="000E2E22" w:rsidP="00524F55">
            <w:pPr>
              <w:rPr>
                <w:rFonts w:ascii="Arial" w:hAnsi="Arial" w:cs="Arial"/>
                <w:sz w:val="20"/>
                <w:szCs w:val="20"/>
              </w:rPr>
            </w:pPr>
          </w:p>
        </w:tc>
        <w:tc>
          <w:tcPr>
            <w:tcW w:w="3969" w:type="dxa"/>
            <w:vMerge/>
            <w:tcBorders>
              <w:right w:val="nil"/>
            </w:tcBorders>
          </w:tcPr>
          <w:p w14:paraId="06673000" w14:textId="77777777" w:rsidR="000E2E22" w:rsidRPr="000F7865" w:rsidRDefault="000E2E22" w:rsidP="00524F55">
            <w:pPr>
              <w:jc w:val="center"/>
              <w:rPr>
                <w:rFonts w:ascii="Arial" w:hAnsi="Arial" w:cs="Arial"/>
                <w:sz w:val="20"/>
                <w:szCs w:val="20"/>
              </w:rPr>
            </w:pPr>
          </w:p>
        </w:tc>
        <w:tc>
          <w:tcPr>
            <w:tcW w:w="3398" w:type="dxa"/>
            <w:tcBorders>
              <w:right w:val="nil"/>
            </w:tcBorders>
            <w:shd w:val="clear" w:color="auto" w:fill="E7E6E6" w:themeFill="background2"/>
            <w:textDirection w:val="tbRl"/>
          </w:tcPr>
          <w:p w14:paraId="7F91D7EF" w14:textId="7777777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A8D08D" w:themeFill="accent6" w:themeFillTint="99"/>
            <w:textDirection w:val="tbRl"/>
            <w:vAlign w:val="center"/>
          </w:tcPr>
          <w:p w14:paraId="3FA920B4" w14:textId="22B11C27" w:rsidR="000E2E22" w:rsidRPr="00A578F1" w:rsidRDefault="000E2E22" w:rsidP="004E105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565875C7" w14:textId="77777777" w:rsidR="000E2E22" w:rsidRPr="00A578F1" w:rsidRDefault="000E2E22" w:rsidP="004E105C">
            <w:pPr>
              <w:ind w:left="113" w:right="113"/>
              <w:jc w:val="center"/>
              <w:rPr>
                <w:rFonts w:ascii="Arial" w:hAnsi="Arial" w:cs="Arial"/>
                <w:b/>
                <w:sz w:val="20"/>
                <w:szCs w:val="20"/>
              </w:rPr>
            </w:pPr>
          </w:p>
        </w:tc>
      </w:tr>
      <w:tr w:rsidR="000E2E22" w:rsidRPr="00A578F1" w14:paraId="343E8216" w14:textId="77777777" w:rsidTr="00D7776A">
        <w:trPr>
          <w:cantSplit/>
          <w:trHeight w:val="3237"/>
        </w:trPr>
        <w:tc>
          <w:tcPr>
            <w:tcW w:w="499" w:type="dxa"/>
            <w:vMerge/>
            <w:tcBorders>
              <w:left w:val="nil"/>
              <w:right w:val="nil"/>
            </w:tcBorders>
            <w:textDirection w:val="btLr"/>
            <w:vAlign w:val="center"/>
          </w:tcPr>
          <w:p w14:paraId="6C467671"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663ABA25" w14:textId="6A634802"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13E437CB" w14:textId="5FEDC388"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2</w:t>
            </w:r>
          </w:p>
        </w:tc>
        <w:tc>
          <w:tcPr>
            <w:tcW w:w="7806" w:type="dxa"/>
            <w:gridSpan w:val="3"/>
            <w:tcBorders>
              <w:left w:val="nil"/>
              <w:right w:val="nil"/>
            </w:tcBorders>
            <w:shd w:val="clear" w:color="auto" w:fill="E7E6E6" w:themeFill="background2"/>
          </w:tcPr>
          <w:p w14:paraId="055A406A" w14:textId="77777777" w:rsidR="000E2E22" w:rsidRPr="000F7865" w:rsidRDefault="000E2E22" w:rsidP="00ED19EC">
            <w:pPr>
              <w:jc w:val="center"/>
              <w:rPr>
                <w:rFonts w:ascii="Arial" w:hAnsi="Arial" w:cs="Arial"/>
                <w:sz w:val="20"/>
                <w:szCs w:val="20"/>
              </w:rPr>
            </w:pPr>
          </w:p>
        </w:tc>
        <w:tc>
          <w:tcPr>
            <w:tcW w:w="3398" w:type="dxa"/>
            <w:tcBorders>
              <w:left w:val="nil"/>
              <w:right w:val="nil"/>
            </w:tcBorders>
            <w:shd w:val="clear" w:color="auto" w:fill="E7E6E6" w:themeFill="background2"/>
            <w:textDirection w:val="tbRl"/>
          </w:tcPr>
          <w:p w14:paraId="3D5FA155"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A8D08D" w:themeFill="accent6" w:themeFillTint="99"/>
            <w:textDirection w:val="tbRl"/>
            <w:vAlign w:val="center"/>
          </w:tcPr>
          <w:p w14:paraId="7265E4D1" w14:textId="51FBA116"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E2EFD9" w:themeFill="accent6" w:themeFillTint="33"/>
            <w:textDirection w:val="tbRl"/>
            <w:vAlign w:val="center"/>
          </w:tcPr>
          <w:p w14:paraId="4A081C9D" w14:textId="77777777" w:rsidR="000E2E22" w:rsidRPr="00A578F1" w:rsidRDefault="000E2E22" w:rsidP="00ED19EC">
            <w:pPr>
              <w:ind w:left="113" w:right="113"/>
              <w:jc w:val="center"/>
              <w:rPr>
                <w:rFonts w:ascii="Arial" w:hAnsi="Arial" w:cs="Arial"/>
                <w:b/>
                <w:sz w:val="20"/>
                <w:szCs w:val="20"/>
              </w:rPr>
            </w:pPr>
          </w:p>
        </w:tc>
      </w:tr>
      <w:tr w:rsidR="000E2E22" w:rsidRPr="00A578F1" w14:paraId="7A1078A9" w14:textId="77777777" w:rsidTr="00A578F1">
        <w:trPr>
          <w:cantSplit/>
          <w:trHeight w:val="1678"/>
        </w:trPr>
        <w:tc>
          <w:tcPr>
            <w:tcW w:w="499" w:type="dxa"/>
            <w:vMerge w:val="restart"/>
            <w:tcBorders>
              <w:top w:val="double" w:sz="4" w:space="0" w:color="auto"/>
              <w:left w:val="nil"/>
              <w:right w:val="nil"/>
            </w:tcBorders>
            <w:textDirection w:val="btLr"/>
            <w:vAlign w:val="center"/>
          </w:tcPr>
          <w:p w14:paraId="33B8A57B" w14:textId="03A34DAC"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lastRenderedPageBreak/>
              <w:t xml:space="preserve">Chapitre 3 : </w:t>
            </w:r>
          </w:p>
        </w:tc>
        <w:tc>
          <w:tcPr>
            <w:tcW w:w="583" w:type="dxa"/>
            <w:tcBorders>
              <w:top w:val="double" w:sz="4" w:space="0" w:color="auto"/>
              <w:left w:val="nil"/>
              <w:right w:val="nil"/>
            </w:tcBorders>
            <w:shd w:val="clear" w:color="auto" w:fill="E7E6E6" w:themeFill="background2"/>
            <w:vAlign w:val="center"/>
          </w:tcPr>
          <w:p w14:paraId="4DB13AA5"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2323B96A" w14:textId="77777777" w:rsidR="000E2E22" w:rsidRPr="00A578F1" w:rsidRDefault="000E2E22" w:rsidP="00ED19EC">
            <w:pPr>
              <w:jc w:val="center"/>
              <w:rPr>
                <w:rFonts w:ascii="Arial" w:hAnsi="Arial" w:cs="Arial"/>
                <w:b/>
                <w:sz w:val="20"/>
                <w:szCs w:val="20"/>
              </w:rPr>
            </w:pPr>
          </w:p>
        </w:tc>
        <w:tc>
          <w:tcPr>
            <w:tcW w:w="578" w:type="dxa"/>
            <w:tcBorders>
              <w:top w:val="double" w:sz="4" w:space="0" w:color="auto"/>
              <w:left w:val="nil"/>
              <w:right w:val="nil"/>
            </w:tcBorders>
            <w:textDirection w:val="btLr"/>
            <w:vAlign w:val="center"/>
          </w:tcPr>
          <w:p w14:paraId="2C8CD972" w14:textId="7017CB33"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cours</w:t>
            </w:r>
          </w:p>
        </w:tc>
        <w:tc>
          <w:tcPr>
            <w:tcW w:w="2022" w:type="dxa"/>
            <w:tcBorders>
              <w:top w:val="double" w:sz="4" w:space="0" w:color="auto"/>
              <w:left w:val="nil"/>
              <w:right w:val="nil"/>
            </w:tcBorders>
            <w:shd w:val="clear" w:color="auto" w:fill="E7E6E6" w:themeFill="background2"/>
            <w:vAlign w:val="center"/>
          </w:tcPr>
          <w:p w14:paraId="4CEB6251" w14:textId="77777777" w:rsidR="000E2E22" w:rsidRPr="00A578F1" w:rsidRDefault="000E2E22" w:rsidP="00A50B1F">
            <w:pPr>
              <w:rPr>
                <w:rFonts w:ascii="Arial" w:hAnsi="Arial" w:cs="Arial"/>
                <w:b/>
                <w:sz w:val="20"/>
                <w:szCs w:val="20"/>
              </w:rPr>
            </w:pPr>
            <w:r w:rsidRPr="00A578F1">
              <w:rPr>
                <w:rFonts w:ascii="Arial" w:hAnsi="Arial" w:cs="Arial"/>
                <w:b/>
                <w:sz w:val="20"/>
                <w:szCs w:val="20"/>
              </w:rPr>
              <w:t>7. Comment mesurer la température du Soleil ?</w:t>
            </w:r>
          </w:p>
          <w:p w14:paraId="327EBE43" w14:textId="0195BE36" w:rsidR="000E2E22" w:rsidRPr="00A578F1" w:rsidRDefault="000E2E22" w:rsidP="00A50B1F">
            <w:pPr>
              <w:rPr>
                <w:rFonts w:ascii="Arial" w:hAnsi="Arial" w:cs="Arial"/>
                <w:b/>
                <w:sz w:val="20"/>
                <w:szCs w:val="20"/>
              </w:rPr>
            </w:pPr>
            <w:r w:rsidRPr="00A578F1">
              <w:rPr>
                <w:rFonts w:ascii="Arial" w:hAnsi="Arial" w:cs="Arial"/>
                <w:b/>
                <w:sz w:val="20"/>
                <w:szCs w:val="20"/>
              </w:rPr>
              <w:t xml:space="preserve">(Manip de cours </w:t>
            </w:r>
            <w:proofErr w:type="spellStart"/>
            <w:r w:rsidRPr="00A578F1">
              <w:rPr>
                <w:rFonts w:ascii="Arial" w:hAnsi="Arial" w:cs="Arial"/>
                <w:b/>
                <w:sz w:val="20"/>
                <w:szCs w:val="20"/>
              </w:rPr>
              <w:t>spidhr</w:t>
            </w:r>
            <w:proofErr w:type="spellEnd"/>
            <w:r w:rsidRPr="00A578F1">
              <w:rPr>
                <w:rFonts w:ascii="Arial" w:hAnsi="Arial" w:cs="Arial"/>
                <w:b/>
                <w:sz w:val="20"/>
                <w:szCs w:val="20"/>
              </w:rPr>
              <w:t>)</w:t>
            </w:r>
          </w:p>
        </w:tc>
        <w:tc>
          <w:tcPr>
            <w:tcW w:w="3837" w:type="dxa"/>
            <w:gridSpan w:val="2"/>
            <w:tcBorders>
              <w:top w:val="double" w:sz="4" w:space="0" w:color="auto"/>
              <w:left w:val="nil"/>
            </w:tcBorders>
          </w:tcPr>
          <w:p w14:paraId="76305CC8" w14:textId="77777777" w:rsidR="00A578F1" w:rsidRPr="000F7865" w:rsidRDefault="00A578F1" w:rsidP="00A578F1">
            <w:pPr>
              <w:pStyle w:val="Default"/>
              <w:rPr>
                <w:sz w:val="20"/>
                <w:szCs w:val="20"/>
              </w:rPr>
            </w:pPr>
            <w:r w:rsidRPr="000F7865">
              <w:rPr>
                <w:sz w:val="20"/>
                <w:szCs w:val="20"/>
              </w:rPr>
              <w:t xml:space="preserve">Le spectre du rayonnement émis par la surface (modélisé par un spectre de </w:t>
            </w:r>
            <w:r w:rsidRPr="000F7865">
              <w:rPr>
                <w:i/>
                <w:iCs/>
                <w:sz w:val="20"/>
                <w:szCs w:val="20"/>
              </w:rPr>
              <w:t>corps noir</w:t>
            </w:r>
            <w:r w:rsidRPr="000F7865">
              <w:rPr>
                <w:sz w:val="20"/>
                <w:szCs w:val="20"/>
              </w:rPr>
              <w:t xml:space="preserve">) dépend seulement de la température de surface de l’étoile. </w:t>
            </w:r>
          </w:p>
          <w:p w14:paraId="4355CDA2" w14:textId="6A3500FE" w:rsidR="000E2E22" w:rsidRPr="000F7865" w:rsidRDefault="00A578F1" w:rsidP="00A578F1">
            <w:pPr>
              <w:rPr>
                <w:rFonts w:ascii="Arial" w:hAnsi="Arial" w:cs="Arial"/>
                <w:sz w:val="20"/>
                <w:szCs w:val="20"/>
              </w:rPr>
            </w:pPr>
            <w:r w:rsidRPr="000F7865">
              <w:rPr>
                <w:rFonts w:ascii="Arial" w:hAnsi="Arial" w:cs="Arial"/>
                <w:sz w:val="20"/>
                <w:szCs w:val="20"/>
              </w:rPr>
              <w:t xml:space="preserve">La longueur d’onde d’émission maximale est inversement proportionnelle à la température absolue de la surface de l’étoile (loi de Wien). </w:t>
            </w:r>
          </w:p>
        </w:tc>
        <w:tc>
          <w:tcPr>
            <w:tcW w:w="3969" w:type="dxa"/>
            <w:tcBorders>
              <w:top w:val="double" w:sz="4" w:space="0" w:color="auto"/>
              <w:right w:val="nil"/>
            </w:tcBorders>
          </w:tcPr>
          <w:p w14:paraId="50C94989" w14:textId="77777777" w:rsidR="00A578F1" w:rsidRPr="000F7865" w:rsidRDefault="00A578F1" w:rsidP="00A578F1">
            <w:pPr>
              <w:pStyle w:val="Default"/>
              <w:rPr>
                <w:sz w:val="20"/>
                <w:szCs w:val="20"/>
              </w:rPr>
            </w:pPr>
            <w:r w:rsidRPr="000F7865">
              <w:rPr>
                <w:sz w:val="20"/>
                <w:szCs w:val="20"/>
              </w:rPr>
              <w:t xml:space="preserve">À partir d’une représentation graphique du spectre d’émission du corps noir à une température donnée, déterminer la longueur d’onde d’émission maximale. </w:t>
            </w:r>
          </w:p>
          <w:p w14:paraId="4DBE89A8" w14:textId="67C4A941" w:rsidR="000E2E22" w:rsidRPr="000F7865" w:rsidRDefault="00A578F1" w:rsidP="00A578F1">
            <w:pPr>
              <w:rPr>
                <w:rFonts w:ascii="Arial" w:hAnsi="Arial" w:cs="Arial"/>
                <w:sz w:val="20"/>
                <w:szCs w:val="20"/>
              </w:rPr>
            </w:pPr>
            <w:r w:rsidRPr="000F7865">
              <w:rPr>
                <w:rFonts w:ascii="Arial" w:hAnsi="Arial" w:cs="Arial"/>
                <w:sz w:val="20"/>
                <w:szCs w:val="20"/>
              </w:rPr>
              <w:t xml:space="preserve">Appliquer la loi de Wien pour déterminer la température de surface d’une étoile à partir de la longueur d’onde d’émission maximale. </w:t>
            </w:r>
          </w:p>
        </w:tc>
        <w:tc>
          <w:tcPr>
            <w:tcW w:w="3398" w:type="dxa"/>
            <w:tcBorders>
              <w:top w:val="double" w:sz="4" w:space="0" w:color="auto"/>
              <w:right w:val="nil"/>
            </w:tcBorders>
            <w:shd w:val="clear" w:color="auto" w:fill="E7E6E6" w:themeFill="background2"/>
            <w:textDirection w:val="tbRl"/>
          </w:tcPr>
          <w:p w14:paraId="6E7B1E36"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top w:val="double" w:sz="4" w:space="0" w:color="auto"/>
              <w:left w:val="nil"/>
              <w:right w:val="nil"/>
            </w:tcBorders>
            <w:shd w:val="clear" w:color="auto" w:fill="FFE599" w:themeFill="accent4" w:themeFillTint="66"/>
            <w:textDirection w:val="tbRl"/>
            <w:vAlign w:val="center"/>
          </w:tcPr>
          <w:p w14:paraId="21B3C8A7" w14:textId="2FDA8DB5"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2.1- Le rayonnement solaire</w:t>
            </w:r>
          </w:p>
        </w:tc>
        <w:tc>
          <w:tcPr>
            <w:tcW w:w="498" w:type="dxa"/>
            <w:vMerge w:val="restart"/>
            <w:tcBorders>
              <w:top w:val="double" w:sz="4" w:space="0" w:color="auto"/>
              <w:left w:val="nil"/>
              <w:right w:val="nil"/>
            </w:tcBorders>
            <w:shd w:val="clear" w:color="auto" w:fill="FFF2CC" w:themeFill="accent4" w:themeFillTint="33"/>
            <w:textDirection w:val="tbRl"/>
            <w:vAlign w:val="center"/>
          </w:tcPr>
          <w:p w14:paraId="09256140" w14:textId="7777777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2. Le Soleil, notre source d’énergie</w:t>
            </w:r>
          </w:p>
        </w:tc>
      </w:tr>
      <w:tr w:rsidR="000E2E22" w:rsidRPr="00A578F1" w14:paraId="0901164D" w14:textId="77777777" w:rsidTr="003F3253">
        <w:trPr>
          <w:cantSplit/>
          <w:trHeight w:val="2768"/>
        </w:trPr>
        <w:tc>
          <w:tcPr>
            <w:tcW w:w="499" w:type="dxa"/>
            <w:vMerge/>
            <w:tcBorders>
              <w:left w:val="nil"/>
              <w:bottom w:val="double" w:sz="4" w:space="0" w:color="auto"/>
              <w:right w:val="nil"/>
            </w:tcBorders>
            <w:textDirection w:val="btLr"/>
            <w:vAlign w:val="center"/>
          </w:tcPr>
          <w:p w14:paraId="64F1F63C" w14:textId="77777777" w:rsidR="000E2E22" w:rsidRPr="00A578F1" w:rsidRDefault="000E2E22" w:rsidP="00ED19EC">
            <w:pPr>
              <w:ind w:left="113" w:right="113"/>
              <w:jc w:val="center"/>
              <w:rPr>
                <w:rFonts w:ascii="Arial" w:hAnsi="Arial" w:cs="Arial"/>
                <w:b/>
                <w:sz w:val="20"/>
                <w:szCs w:val="20"/>
              </w:rPr>
            </w:pPr>
          </w:p>
        </w:tc>
        <w:tc>
          <w:tcPr>
            <w:tcW w:w="583" w:type="dxa"/>
            <w:tcBorders>
              <w:left w:val="nil"/>
              <w:bottom w:val="double" w:sz="4" w:space="0" w:color="auto"/>
              <w:right w:val="nil"/>
            </w:tcBorders>
            <w:shd w:val="clear" w:color="auto" w:fill="E7E6E6" w:themeFill="background2"/>
            <w:vAlign w:val="center"/>
          </w:tcPr>
          <w:p w14:paraId="31804BF7"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21EF195A" w14:textId="77777777" w:rsidR="000E2E22" w:rsidRPr="00A578F1" w:rsidRDefault="000E2E22" w:rsidP="00ED19EC">
            <w:pPr>
              <w:jc w:val="center"/>
              <w:rPr>
                <w:rFonts w:ascii="Arial" w:hAnsi="Arial" w:cs="Arial"/>
                <w:b/>
                <w:sz w:val="20"/>
                <w:szCs w:val="20"/>
              </w:rPr>
            </w:pPr>
          </w:p>
        </w:tc>
        <w:tc>
          <w:tcPr>
            <w:tcW w:w="578" w:type="dxa"/>
            <w:tcBorders>
              <w:left w:val="nil"/>
              <w:bottom w:val="double" w:sz="4" w:space="0" w:color="auto"/>
              <w:right w:val="nil"/>
            </w:tcBorders>
            <w:textDirection w:val="btLr"/>
            <w:vAlign w:val="center"/>
          </w:tcPr>
          <w:p w14:paraId="6CAC4445" w14:textId="354AA6C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documentaire</w:t>
            </w:r>
          </w:p>
        </w:tc>
        <w:tc>
          <w:tcPr>
            <w:tcW w:w="2022" w:type="dxa"/>
            <w:tcBorders>
              <w:left w:val="nil"/>
              <w:bottom w:val="double" w:sz="4" w:space="0" w:color="auto"/>
              <w:right w:val="nil"/>
            </w:tcBorders>
            <w:shd w:val="clear" w:color="auto" w:fill="E7E6E6" w:themeFill="background2"/>
            <w:vAlign w:val="center"/>
          </w:tcPr>
          <w:p w14:paraId="092404A4" w14:textId="71D2C142" w:rsidR="000E2E22" w:rsidRPr="00A578F1" w:rsidRDefault="000E2E22" w:rsidP="00A50B1F">
            <w:pPr>
              <w:rPr>
                <w:rFonts w:ascii="Arial" w:hAnsi="Arial" w:cs="Arial"/>
                <w:b/>
                <w:sz w:val="20"/>
                <w:szCs w:val="20"/>
              </w:rPr>
            </w:pPr>
            <w:r w:rsidRPr="00A578F1">
              <w:rPr>
                <w:rFonts w:ascii="Arial" w:hAnsi="Arial" w:cs="Arial"/>
                <w:b/>
                <w:sz w:val="20"/>
                <w:szCs w:val="20"/>
              </w:rPr>
              <w:t xml:space="preserve">8. D’où vient l’énergie du Soleil ? </w:t>
            </w:r>
          </w:p>
          <w:p w14:paraId="45D2B9EE" w14:textId="77777777" w:rsidR="000E2E22" w:rsidRPr="00A578F1" w:rsidRDefault="000E2E22" w:rsidP="00A50B1F">
            <w:pPr>
              <w:rPr>
                <w:rFonts w:ascii="Arial" w:hAnsi="Arial" w:cs="Arial"/>
                <w:b/>
                <w:sz w:val="20"/>
                <w:szCs w:val="20"/>
              </w:rPr>
            </w:pPr>
            <w:r w:rsidRPr="00A578F1">
              <w:rPr>
                <w:rFonts w:ascii="Arial" w:hAnsi="Arial" w:cs="Arial"/>
                <w:b/>
                <w:sz w:val="20"/>
                <w:szCs w:val="20"/>
              </w:rPr>
              <w:t xml:space="preserve">- réaction de fusion </w:t>
            </w:r>
          </w:p>
          <w:p w14:paraId="4033BBB3" w14:textId="77777777" w:rsidR="000E2E22" w:rsidRPr="00A578F1" w:rsidRDefault="000E2E22" w:rsidP="00A50B1F">
            <w:pPr>
              <w:rPr>
                <w:rFonts w:ascii="Arial" w:hAnsi="Arial" w:cs="Arial"/>
                <w:b/>
                <w:sz w:val="20"/>
                <w:szCs w:val="20"/>
              </w:rPr>
            </w:pPr>
            <w:r w:rsidRPr="00A578F1">
              <w:rPr>
                <w:rFonts w:ascii="Arial" w:hAnsi="Arial" w:cs="Arial"/>
                <w:b/>
                <w:sz w:val="20"/>
                <w:szCs w:val="20"/>
              </w:rPr>
              <w:t xml:space="preserve">- équivalence masse-énergie </w:t>
            </w:r>
          </w:p>
          <w:p w14:paraId="27C3FC36" w14:textId="1BB48C82" w:rsidR="000E2E22" w:rsidRPr="00A578F1" w:rsidRDefault="000E2E22" w:rsidP="00A50B1F">
            <w:pPr>
              <w:rPr>
                <w:rFonts w:ascii="Arial" w:hAnsi="Arial" w:cs="Arial"/>
                <w:b/>
                <w:sz w:val="20"/>
                <w:szCs w:val="20"/>
              </w:rPr>
            </w:pPr>
            <w:r w:rsidRPr="00A578F1">
              <w:rPr>
                <w:rFonts w:ascii="Arial" w:hAnsi="Arial" w:cs="Arial"/>
                <w:b/>
                <w:sz w:val="20"/>
                <w:szCs w:val="20"/>
              </w:rPr>
              <w:t>- durée de vie du Soleil ?</w:t>
            </w:r>
          </w:p>
        </w:tc>
        <w:tc>
          <w:tcPr>
            <w:tcW w:w="3837" w:type="dxa"/>
            <w:gridSpan w:val="2"/>
            <w:tcBorders>
              <w:left w:val="nil"/>
              <w:bottom w:val="double" w:sz="4" w:space="0" w:color="auto"/>
            </w:tcBorders>
          </w:tcPr>
          <w:p w14:paraId="1B8123CA" w14:textId="77777777" w:rsidR="00A578F1" w:rsidRPr="000F7865" w:rsidRDefault="00A578F1" w:rsidP="00A578F1">
            <w:pPr>
              <w:pStyle w:val="Default"/>
              <w:rPr>
                <w:sz w:val="20"/>
                <w:szCs w:val="20"/>
              </w:rPr>
            </w:pPr>
            <w:r w:rsidRPr="000F7865">
              <w:rPr>
                <w:sz w:val="20"/>
                <w:szCs w:val="20"/>
              </w:rPr>
              <w:t xml:space="preserve">L’énergie dégagée par les réactions de fusion de l’hydrogène qui se produisent dans les étoiles les maintient à une température très élevée. </w:t>
            </w:r>
          </w:p>
          <w:p w14:paraId="4446CD9B" w14:textId="77777777" w:rsidR="00A578F1" w:rsidRPr="000F7865" w:rsidRDefault="00A578F1" w:rsidP="00A578F1">
            <w:pPr>
              <w:pStyle w:val="Default"/>
              <w:rPr>
                <w:sz w:val="20"/>
                <w:szCs w:val="20"/>
              </w:rPr>
            </w:pPr>
            <w:r w:rsidRPr="000F7865">
              <w:rPr>
                <w:sz w:val="20"/>
                <w:szCs w:val="20"/>
              </w:rPr>
              <w:t xml:space="preserve">Du fait de l’équivalence masse-énergie (relation d’Einstein), ces réactions s’accompagnent d’une diminution de la masse solaire au cours du temps. </w:t>
            </w:r>
          </w:p>
          <w:p w14:paraId="24AF61E2" w14:textId="1FBF228B" w:rsidR="000E2E22" w:rsidRPr="000F7865" w:rsidRDefault="00A578F1" w:rsidP="00A578F1">
            <w:pPr>
              <w:rPr>
                <w:rFonts w:ascii="Arial" w:hAnsi="Arial" w:cs="Arial"/>
                <w:sz w:val="20"/>
                <w:szCs w:val="20"/>
              </w:rPr>
            </w:pPr>
            <w:r w:rsidRPr="000F7865">
              <w:rPr>
                <w:rFonts w:ascii="Arial" w:hAnsi="Arial" w:cs="Arial"/>
                <w:sz w:val="20"/>
                <w:szCs w:val="20"/>
              </w:rPr>
              <w:t xml:space="preserve">Comme tous les corps matériels, les étoiles et le Soleil émettent des ondes électromagnétiques et donc perdent de l’énergie par rayonnement. </w:t>
            </w:r>
          </w:p>
        </w:tc>
        <w:tc>
          <w:tcPr>
            <w:tcW w:w="3969" w:type="dxa"/>
            <w:tcBorders>
              <w:bottom w:val="double" w:sz="4" w:space="0" w:color="auto"/>
              <w:right w:val="nil"/>
            </w:tcBorders>
          </w:tcPr>
          <w:p w14:paraId="3F17E4A3" w14:textId="77777777" w:rsidR="00A578F1" w:rsidRPr="000F7865" w:rsidRDefault="00A578F1" w:rsidP="00A578F1">
            <w:pPr>
              <w:pStyle w:val="Default"/>
              <w:rPr>
                <w:sz w:val="20"/>
                <w:szCs w:val="20"/>
              </w:rPr>
            </w:pPr>
            <w:r w:rsidRPr="000F7865">
              <w:rPr>
                <w:sz w:val="20"/>
                <w:szCs w:val="20"/>
              </w:rPr>
              <w:t xml:space="preserve">Déterminer la masse solaire transformée chaque seconde en énergie à partir de la donnée de la puissance rayonnée par le Soleil. </w:t>
            </w:r>
          </w:p>
          <w:p w14:paraId="774AF2C4" w14:textId="77777777" w:rsidR="000E2E22" w:rsidRPr="000F7865" w:rsidRDefault="000E2E22" w:rsidP="00A578F1">
            <w:pPr>
              <w:pStyle w:val="Default"/>
              <w:rPr>
                <w:sz w:val="20"/>
                <w:szCs w:val="20"/>
              </w:rPr>
            </w:pPr>
          </w:p>
        </w:tc>
        <w:tc>
          <w:tcPr>
            <w:tcW w:w="3398" w:type="dxa"/>
            <w:tcBorders>
              <w:bottom w:val="double" w:sz="4" w:space="0" w:color="auto"/>
              <w:right w:val="nil"/>
            </w:tcBorders>
            <w:shd w:val="clear" w:color="auto" w:fill="E7E6E6" w:themeFill="background2"/>
            <w:textDirection w:val="tbRl"/>
          </w:tcPr>
          <w:p w14:paraId="14EBC436"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bottom w:val="double" w:sz="4" w:space="0" w:color="auto"/>
              <w:right w:val="nil"/>
            </w:tcBorders>
            <w:shd w:val="clear" w:color="auto" w:fill="FFE599" w:themeFill="accent4" w:themeFillTint="66"/>
            <w:textDirection w:val="tbRl"/>
            <w:vAlign w:val="center"/>
          </w:tcPr>
          <w:p w14:paraId="115036FA" w14:textId="10548129" w:rsidR="000E2E22" w:rsidRPr="00A578F1" w:rsidRDefault="000E2E22" w:rsidP="00ED19EC">
            <w:pPr>
              <w:ind w:left="113" w:right="113"/>
              <w:jc w:val="center"/>
              <w:rPr>
                <w:rFonts w:ascii="Arial" w:hAnsi="Arial" w:cs="Arial"/>
                <w:b/>
                <w:sz w:val="20"/>
                <w:szCs w:val="20"/>
              </w:rPr>
            </w:pPr>
          </w:p>
        </w:tc>
        <w:tc>
          <w:tcPr>
            <w:tcW w:w="498" w:type="dxa"/>
            <w:vMerge/>
            <w:tcBorders>
              <w:left w:val="nil"/>
              <w:bottom w:val="double" w:sz="4" w:space="0" w:color="auto"/>
              <w:right w:val="nil"/>
            </w:tcBorders>
            <w:shd w:val="clear" w:color="auto" w:fill="FFF2CC" w:themeFill="accent4" w:themeFillTint="33"/>
            <w:textDirection w:val="tbRl"/>
            <w:vAlign w:val="center"/>
          </w:tcPr>
          <w:p w14:paraId="4D59CC57" w14:textId="77777777" w:rsidR="000E2E22" w:rsidRPr="00A578F1" w:rsidRDefault="000E2E22" w:rsidP="00ED19EC">
            <w:pPr>
              <w:ind w:left="113" w:right="113"/>
              <w:jc w:val="center"/>
              <w:rPr>
                <w:rFonts w:ascii="Arial" w:hAnsi="Arial" w:cs="Arial"/>
                <w:b/>
                <w:sz w:val="20"/>
                <w:szCs w:val="20"/>
              </w:rPr>
            </w:pPr>
          </w:p>
        </w:tc>
      </w:tr>
      <w:tr w:rsidR="000E2E22" w:rsidRPr="00A578F1" w14:paraId="5E625177" w14:textId="77777777" w:rsidTr="003F3253">
        <w:trPr>
          <w:cantSplit/>
          <w:trHeight w:val="1134"/>
        </w:trPr>
        <w:tc>
          <w:tcPr>
            <w:tcW w:w="499" w:type="dxa"/>
            <w:vMerge w:val="restart"/>
            <w:tcBorders>
              <w:top w:val="double" w:sz="4" w:space="0" w:color="auto"/>
              <w:left w:val="nil"/>
              <w:right w:val="nil"/>
            </w:tcBorders>
            <w:textDirection w:val="btLr"/>
            <w:vAlign w:val="center"/>
          </w:tcPr>
          <w:p w14:paraId="09C142A5" w14:textId="78B8D9B5"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 xml:space="preserve">Chapitre 4 : </w:t>
            </w:r>
          </w:p>
        </w:tc>
        <w:tc>
          <w:tcPr>
            <w:tcW w:w="583" w:type="dxa"/>
            <w:tcBorders>
              <w:top w:val="double" w:sz="4" w:space="0" w:color="auto"/>
              <w:left w:val="nil"/>
              <w:right w:val="nil"/>
            </w:tcBorders>
            <w:shd w:val="clear" w:color="auto" w:fill="E7E6E6" w:themeFill="background2"/>
            <w:vAlign w:val="center"/>
          </w:tcPr>
          <w:p w14:paraId="56267008"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1BA4D6AC" w14:textId="77777777" w:rsidR="000E2E22" w:rsidRPr="00A578F1" w:rsidRDefault="000E2E22" w:rsidP="00ED19EC">
            <w:pPr>
              <w:jc w:val="center"/>
              <w:rPr>
                <w:rFonts w:ascii="Arial" w:hAnsi="Arial" w:cs="Arial"/>
                <w:b/>
                <w:sz w:val="20"/>
                <w:szCs w:val="20"/>
              </w:rPr>
            </w:pPr>
          </w:p>
        </w:tc>
        <w:tc>
          <w:tcPr>
            <w:tcW w:w="578" w:type="dxa"/>
            <w:tcBorders>
              <w:top w:val="double" w:sz="4" w:space="0" w:color="auto"/>
              <w:left w:val="nil"/>
              <w:right w:val="nil"/>
            </w:tcBorders>
            <w:textDirection w:val="btLr"/>
            <w:vAlign w:val="center"/>
          </w:tcPr>
          <w:p w14:paraId="1DCC5050" w14:textId="62D26634"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RPS</w:t>
            </w:r>
          </w:p>
        </w:tc>
        <w:tc>
          <w:tcPr>
            <w:tcW w:w="2022" w:type="dxa"/>
            <w:tcBorders>
              <w:top w:val="double" w:sz="4" w:space="0" w:color="auto"/>
              <w:left w:val="nil"/>
              <w:right w:val="nil"/>
            </w:tcBorders>
            <w:shd w:val="clear" w:color="auto" w:fill="E7E6E6" w:themeFill="background2"/>
            <w:vAlign w:val="center"/>
          </w:tcPr>
          <w:p w14:paraId="4231E002" w14:textId="26E00DD1" w:rsidR="000E2E22" w:rsidRPr="00A578F1" w:rsidRDefault="000E2E22" w:rsidP="00A50B1F">
            <w:pPr>
              <w:rPr>
                <w:rFonts w:ascii="Arial" w:hAnsi="Arial" w:cs="Arial"/>
                <w:b/>
                <w:sz w:val="20"/>
                <w:szCs w:val="20"/>
              </w:rPr>
            </w:pPr>
            <w:r w:rsidRPr="00A578F1">
              <w:rPr>
                <w:rFonts w:ascii="Arial" w:hAnsi="Arial" w:cs="Arial"/>
                <w:b/>
                <w:sz w:val="20"/>
                <w:szCs w:val="20"/>
              </w:rPr>
              <w:t>9. Calcul du rayon de la Terre ? (Eratosthène, approche historique)</w:t>
            </w:r>
          </w:p>
        </w:tc>
        <w:tc>
          <w:tcPr>
            <w:tcW w:w="3837" w:type="dxa"/>
            <w:gridSpan w:val="2"/>
            <w:tcBorders>
              <w:top w:val="double" w:sz="4" w:space="0" w:color="auto"/>
              <w:left w:val="nil"/>
            </w:tcBorders>
          </w:tcPr>
          <w:p w14:paraId="283A3C3C" w14:textId="1B8B3020" w:rsidR="00A578F1" w:rsidRPr="000F7865" w:rsidRDefault="00A578F1" w:rsidP="00A578F1">
            <w:pPr>
              <w:pStyle w:val="Default"/>
              <w:rPr>
                <w:sz w:val="20"/>
                <w:szCs w:val="20"/>
              </w:rPr>
            </w:pPr>
            <w:r w:rsidRPr="000F7865">
              <w:rPr>
                <w:sz w:val="20"/>
                <w:szCs w:val="20"/>
              </w:rPr>
              <w:t xml:space="preserve">Historique : </w:t>
            </w:r>
            <w:r w:rsidRPr="000F7865">
              <w:rPr>
                <w:sz w:val="20"/>
                <w:szCs w:val="20"/>
              </w:rPr>
              <w:t xml:space="preserve">la mesure du méridien terrestre par Ératosthène (et les hypothèses d’Anaxagore). </w:t>
            </w:r>
          </w:p>
          <w:p w14:paraId="0282FA23" w14:textId="77777777" w:rsidR="00A578F1" w:rsidRPr="000F7865" w:rsidRDefault="00A578F1" w:rsidP="00A578F1">
            <w:pPr>
              <w:pStyle w:val="Default"/>
              <w:rPr>
                <w:sz w:val="20"/>
                <w:szCs w:val="20"/>
              </w:rPr>
            </w:pPr>
            <w:r w:rsidRPr="000F7865">
              <w:rPr>
                <w:sz w:val="20"/>
                <w:szCs w:val="20"/>
              </w:rPr>
              <w:t xml:space="preserve">Dès l’Antiquité, des observations de différentes natures ont permis de conclure que la Terre était sphérique, alors même que, localement, elle apparaît plane dans la plupart des expériences quotidiennes. </w:t>
            </w:r>
          </w:p>
          <w:p w14:paraId="0E6B897E" w14:textId="44F1706E" w:rsidR="000E2E22" w:rsidRPr="000F7865" w:rsidRDefault="00A578F1" w:rsidP="00A578F1">
            <w:pPr>
              <w:rPr>
                <w:rFonts w:ascii="Arial" w:hAnsi="Arial" w:cs="Arial"/>
                <w:sz w:val="20"/>
                <w:szCs w:val="20"/>
              </w:rPr>
            </w:pPr>
            <w:r w:rsidRPr="000F7865">
              <w:rPr>
                <w:rFonts w:ascii="Arial" w:hAnsi="Arial" w:cs="Arial"/>
                <w:sz w:val="20"/>
                <w:szCs w:val="20"/>
              </w:rPr>
              <w:t xml:space="preserve">Historiquement, des méthodes géométriques ont permis de calculer la longueur d’un méridien (environ 40 000 km) à partir de mesures d’angles ou de longueurs : méthodes d’Ératosthène et de triangulation plane. </w:t>
            </w:r>
          </w:p>
        </w:tc>
        <w:tc>
          <w:tcPr>
            <w:tcW w:w="3969" w:type="dxa"/>
            <w:tcBorders>
              <w:top w:val="double" w:sz="4" w:space="0" w:color="auto"/>
              <w:right w:val="nil"/>
            </w:tcBorders>
          </w:tcPr>
          <w:p w14:paraId="4EFE69D9" w14:textId="77777777" w:rsidR="00A578F1" w:rsidRPr="000F7865" w:rsidRDefault="00A578F1" w:rsidP="00A578F1">
            <w:pPr>
              <w:pStyle w:val="Default"/>
              <w:rPr>
                <w:sz w:val="20"/>
                <w:szCs w:val="20"/>
              </w:rPr>
            </w:pPr>
            <w:r w:rsidRPr="000F7865">
              <w:rPr>
                <w:sz w:val="20"/>
                <w:szCs w:val="20"/>
              </w:rPr>
              <w:t xml:space="preserve">Calculer la longueur du méridien terrestre par la méthode d’Ératosthène </w:t>
            </w:r>
          </w:p>
          <w:p w14:paraId="42ED04C9" w14:textId="77777777" w:rsidR="00A578F1" w:rsidRPr="000F7865" w:rsidRDefault="00A578F1" w:rsidP="00A578F1">
            <w:pPr>
              <w:pStyle w:val="Default"/>
              <w:rPr>
                <w:sz w:val="20"/>
                <w:szCs w:val="20"/>
              </w:rPr>
            </w:pPr>
            <w:r w:rsidRPr="000F7865">
              <w:rPr>
                <w:sz w:val="20"/>
                <w:szCs w:val="20"/>
              </w:rPr>
              <w:t xml:space="preserve">Calculer le rayon de la Terre à partir de la longueur du méridien. </w:t>
            </w:r>
          </w:p>
          <w:p w14:paraId="4E86554E" w14:textId="77777777" w:rsidR="000E2E22" w:rsidRPr="000F7865" w:rsidRDefault="000E2E22" w:rsidP="00ED19EC">
            <w:pPr>
              <w:rPr>
                <w:rFonts w:ascii="Arial" w:hAnsi="Arial" w:cs="Arial"/>
                <w:sz w:val="20"/>
                <w:szCs w:val="20"/>
              </w:rPr>
            </w:pPr>
          </w:p>
        </w:tc>
        <w:tc>
          <w:tcPr>
            <w:tcW w:w="3398" w:type="dxa"/>
            <w:tcBorders>
              <w:top w:val="double" w:sz="4" w:space="0" w:color="auto"/>
              <w:right w:val="nil"/>
            </w:tcBorders>
            <w:shd w:val="clear" w:color="auto" w:fill="E7E6E6" w:themeFill="background2"/>
            <w:textDirection w:val="tbRl"/>
          </w:tcPr>
          <w:p w14:paraId="6E832D51"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top w:val="double" w:sz="4" w:space="0" w:color="auto"/>
              <w:left w:val="nil"/>
              <w:right w:val="nil"/>
            </w:tcBorders>
            <w:shd w:val="clear" w:color="auto" w:fill="B4C6E7" w:themeFill="accent1" w:themeFillTint="66"/>
            <w:textDirection w:val="tbRl"/>
            <w:vAlign w:val="center"/>
          </w:tcPr>
          <w:p w14:paraId="12836376" w14:textId="62CD069A"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3.1- La forme de la Terre</w:t>
            </w:r>
          </w:p>
        </w:tc>
        <w:tc>
          <w:tcPr>
            <w:tcW w:w="498" w:type="dxa"/>
            <w:vMerge w:val="restart"/>
            <w:tcBorders>
              <w:top w:val="double" w:sz="4" w:space="0" w:color="auto"/>
              <w:left w:val="nil"/>
              <w:right w:val="nil"/>
            </w:tcBorders>
            <w:shd w:val="clear" w:color="auto" w:fill="D9E2F3" w:themeFill="accent1" w:themeFillTint="33"/>
            <w:textDirection w:val="tbRl"/>
            <w:vAlign w:val="center"/>
          </w:tcPr>
          <w:p w14:paraId="558B5C57" w14:textId="7777777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3. La Terre, un astre singulier</w:t>
            </w:r>
          </w:p>
        </w:tc>
      </w:tr>
      <w:tr w:rsidR="000E2E22" w:rsidRPr="00A578F1" w14:paraId="3A59EDD8" w14:textId="77777777" w:rsidTr="003F3253">
        <w:trPr>
          <w:cantSplit/>
          <w:trHeight w:val="410"/>
        </w:trPr>
        <w:tc>
          <w:tcPr>
            <w:tcW w:w="499" w:type="dxa"/>
            <w:vMerge/>
            <w:tcBorders>
              <w:left w:val="nil"/>
              <w:right w:val="nil"/>
            </w:tcBorders>
            <w:textDirection w:val="btLr"/>
            <w:vAlign w:val="center"/>
          </w:tcPr>
          <w:p w14:paraId="7B4F18B6" w14:textId="77777777" w:rsidR="000E2E22" w:rsidRPr="00A578F1" w:rsidRDefault="000E2E22" w:rsidP="00ED19EC">
            <w:pPr>
              <w:ind w:left="113" w:right="113"/>
              <w:jc w:val="center"/>
              <w:rPr>
                <w:rFonts w:ascii="Arial" w:hAnsi="Arial" w:cs="Arial"/>
                <w:b/>
                <w:sz w:val="20"/>
                <w:szCs w:val="20"/>
              </w:rPr>
            </w:pPr>
          </w:p>
        </w:tc>
        <w:tc>
          <w:tcPr>
            <w:tcW w:w="583" w:type="dxa"/>
            <w:tcBorders>
              <w:top w:val="single" w:sz="4" w:space="0" w:color="auto"/>
              <w:left w:val="nil"/>
              <w:right w:val="nil"/>
            </w:tcBorders>
            <w:shd w:val="clear" w:color="auto" w:fill="E7E6E6" w:themeFill="background2"/>
            <w:vAlign w:val="center"/>
          </w:tcPr>
          <w:p w14:paraId="2473EC44" w14:textId="5D3D9B39"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top w:val="single" w:sz="4" w:space="0" w:color="auto"/>
              <w:left w:val="nil"/>
              <w:right w:val="nil"/>
            </w:tcBorders>
            <w:shd w:val="clear" w:color="auto" w:fill="E7E6E6" w:themeFill="background2"/>
            <w:vAlign w:val="center"/>
          </w:tcPr>
          <w:p w14:paraId="2093D55A" w14:textId="3CB80AC0"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3</w:t>
            </w:r>
          </w:p>
        </w:tc>
        <w:tc>
          <w:tcPr>
            <w:tcW w:w="7806" w:type="dxa"/>
            <w:gridSpan w:val="3"/>
            <w:tcBorders>
              <w:top w:val="single" w:sz="4" w:space="0" w:color="auto"/>
              <w:left w:val="nil"/>
              <w:right w:val="nil"/>
            </w:tcBorders>
            <w:shd w:val="clear" w:color="auto" w:fill="E7E6E6" w:themeFill="background2"/>
          </w:tcPr>
          <w:p w14:paraId="7AC7CE1E" w14:textId="77777777" w:rsidR="000E2E22" w:rsidRPr="000F7865" w:rsidRDefault="000E2E22" w:rsidP="00ED19EC">
            <w:pPr>
              <w:rPr>
                <w:rFonts w:ascii="Arial" w:hAnsi="Arial" w:cs="Arial"/>
                <w:sz w:val="20"/>
                <w:szCs w:val="20"/>
              </w:rPr>
            </w:pPr>
          </w:p>
        </w:tc>
        <w:tc>
          <w:tcPr>
            <w:tcW w:w="3398" w:type="dxa"/>
            <w:tcBorders>
              <w:top w:val="single" w:sz="4" w:space="0" w:color="auto"/>
              <w:left w:val="nil"/>
              <w:right w:val="nil"/>
            </w:tcBorders>
            <w:shd w:val="clear" w:color="auto" w:fill="E7E6E6" w:themeFill="background2"/>
            <w:textDirection w:val="tbRl"/>
          </w:tcPr>
          <w:p w14:paraId="5E30B924" w14:textId="77777777" w:rsidR="000E2E22" w:rsidRPr="00A578F1" w:rsidRDefault="000E2E22" w:rsidP="00ED19EC">
            <w:pPr>
              <w:ind w:left="113" w:right="113"/>
              <w:jc w:val="center"/>
              <w:rPr>
                <w:rFonts w:ascii="Arial" w:hAnsi="Arial" w:cs="Arial"/>
                <w:b/>
                <w:sz w:val="20"/>
                <w:szCs w:val="20"/>
              </w:rPr>
            </w:pPr>
          </w:p>
        </w:tc>
        <w:tc>
          <w:tcPr>
            <w:tcW w:w="498" w:type="dxa"/>
            <w:vMerge/>
            <w:tcBorders>
              <w:top w:val="single" w:sz="4" w:space="0" w:color="auto"/>
              <w:left w:val="nil"/>
              <w:right w:val="nil"/>
            </w:tcBorders>
            <w:shd w:val="clear" w:color="auto" w:fill="B4C6E7" w:themeFill="accent1" w:themeFillTint="66"/>
            <w:textDirection w:val="tbRl"/>
            <w:vAlign w:val="center"/>
          </w:tcPr>
          <w:p w14:paraId="5E3B5134" w14:textId="42DE1DF9"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D9E2F3" w:themeFill="accent1" w:themeFillTint="33"/>
            <w:textDirection w:val="tbRl"/>
            <w:vAlign w:val="center"/>
          </w:tcPr>
          <w:p w14:paraId="24A71EEB" w14:textId="77777777" w:rsidR="000E2E22" w:rsidRPr="00A578F1" w:rsidRDefault="000E2E22" w:rsidP="00ED19EC">
            <w:pPr>
              <w:ind w:left="113" w:right="113"/>
              <w:jc w:val="center"/>
              <w:rPr>
                <w:rFonts w:ascii="Arial" w:hAnsi="Arial" w:cs="Arial"/>
                <w:b/>
                <w:sz w:val="20"/>
                <w:szCs w:val="20"/>
              </w:rPr>
            </w:pPr>
          </w:p>
        </w:tc>
      </w:tr>
      <w:tr w:rsidR="000E2E22" w:rsidRPr="00A578F1" w14:paraId="307979C3" w14:textId="77777777" w:rsidTr="003F3253">
        <w:trPr>
          <w:cantSplit/>
          <w:trHeight w:val="2099"/>
        </w:trPr>
        <w:tc>
          <w:tcPr>
            <w:tcW w:w="499" w:type="dxa"/>
            <w:vMerge/>
            <w:tcBorders>
              <w:left w:val="nil"/>
              <w:right w:val="nil"/>
            </w:tcBorders>
            <w:textDirection w:val="btLr"/>
            <w:vAlign w:val="center"/>
          </w:tcPr>
          <w:p w14:paraId="7CDC3697"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2727426E"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282C4E4E"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46C4BFBB" w14:textId="0CDE5D8D"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RPS / TP</w:t>
            </w:r>
          </w:p>
        </w:tc>
        <w:tc>
          <w:tcPr>
            <w:tcW w:w="2022" w:type="dxa"/>
            <w:tcBorders>
              <w:left w:val="nil"/>
              <w:right w:val="nil"/>
            </w:tcBorders>
            <w:shd w:val="clear" w:color="auto" w:fill="E7E6E6" w:themeFill="background2"/>
            <w:vAlign w:val="center"/>
          </w:tcPr>
          <w:p w14:paraId="04FC4806" w14:textId="4071B137" w:rsidR="000E2E22" w:rsidRPr="00A578F1" w:rsidRDefault="000E2E22" w:rsidP="00A50B1F">
            <w:pPr>
              <w:rPr>
                <w:rFonts w:ascii="Arial" w:hAnsi="Arial" w:cs="Arial"/>
                <w:b/>
                <w:sz w:val="20"/>
                <w:szCs w:val="20"/>
              </w:rPr>
            </w:pPr>
            <w:r w:rsidRPr="00A578F1">
              <w:rPr>
                <w:rFonts w:ascii="Arial" w:hAnsi="Arial" w:cs="Arial"/>
                <w:b/>
                <w:sz w:val="20"/>
                <w:szCs w:val="20"/>
              </w:rPr>
              <w:t>10. Méthode de triangulation utilisée par Delambre et Méchain ??</w:t>
            </w:r>
          </w:p>
        </w:tc>
        <w:tc>
          <w:tcPr>
            <w:tcW w:w="3837" w:type="dxa"/>
            <w:gridSpan w:val="2"/>
            <w:tcBorders>
              <w:left w:val="nil"/>
            </w:tcBorders>
          </w:tcPr>
          <w:p w14:paraId="4732E062" w14:textId="6978A07E" w:rsidR="00A578F1" w:rsidRPr="000F7865" w:rsidRDefault="00A578F1" w:rsidP="00A578F1">
            <w:pPr>
              <w:rPr>
                <w:rFonts w:ascii="Arial" w:hAnsi="Arial" w:cs="Arial"/>
                <w:sz w:val="20"/>
                <w:szCs w:val="20"/>
              </w:rPr>
            </w:pPr>
            <w:r w:rsidRPr="000F7865">
              <w:rPr>
                <w:rFonts w:ascii="Arial" w:hAnsi="Arial" w:cs="Arial"/>
                <w:sz w:val="20"/>
                <w:szCs w:val="20"/>
              </w:rPr>
              <w:t xml:space="preserve">Historique : </w:t>
            </w:r>
            <w:r w:rsidRPr="000F7865">
              <w:rPr>
                <w:rFonts w:ascii="Arial" w:hAnsi="Arial" w:cs="Arial"/>
                <w:sz w:val="20"/>
                <w:szCs w:val="20"/>
              </w:rPr>
              <w:t xml:space="preserve">la mesure du méridien terrestre par Delambre et Méchain (détermination de la longueur du méridien reliant Dunkerque à Barcelone). </w:t>
            </w:r>
          </w:p>
          <w:p w14:paraId="5D63AE8C" w14:textId="70174205" w:rsidR="000E2E22" w:rsidRPr="000F7865" w:rsidRDefault="000E2E22" w:rsidP="00ED19EC">
            <w:pPr>
              <w:rPr>
                <w:rFonts w:ascii="Arial" w:hAnsi="Arial" w:cs="Arial"/>
                <w:sz w:val="20"/>
                <w:szCs w:val="20"/>
              </w:rPr>
            </w:pPr>
          </w:p>
        </w:tc>
        <w:tc>
          <w:tcPr>
            <w:tcW w:w="3969" w:type="dxa"/>
            <w:tcBorders>
              <w:right w:val="nil"/>
            </w:tcBorders>
          </w:tcPr>
          <w:p w14:paraId="7D03CC05" w14:textId="77777777" w:rsidR="00A578F1" w:rsidRPr="000F7865" w:rsidRDefault="00A578F1" w:rsidP="00A578F1">
            <w:pPr>
              <w:pStyle w:val="Default"/>
              <w:rPr>
                <w:sz w:val="20"/>
                <w:szCs w:val="20"/>
              </w:rPr>
            </w:pPr>
            <w:r w:rsidRPr="000F7865">
              <w:rPr>
                <w:sz w:val="20"/>
                <w:szCs w:val="20"/>
              </w:rPr>
              <w:t xml:space="preserve">Calculer une longueur par la méthode de triangulation utilisée par Delambre et Méchain. </w:t>
            </w:r>
          </w:p>
          <w:p w14:paraId="542C1CAE"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52BBE287"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B4C6E7" w:themeFill="accent1" w:themeFillTint="66"/>
            <w:textDirection w:val="tbRl"/>
            <w:vAlign w:val="center"/>
          </w:tcPr>
          <w:p w14:paraId="3B5527A9" w14:textId="12188BE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D9E2F3" w:themeFill="accent1" w:themeFillTint="33"/>
            <w:textDirection w:val="tbRl"/>
            <w:vAlign w:val="center"/>
          </w:tcPr>
          <w:p w14:paraId="4CDF602D" w14:textId="77777777" w:rsidR="000E2E22" w:rsidRPr="00A578F1" w:rsidRDefault="000E2E22" w:rsidP="00ED19EC">
            <w:pPr>
              <w:ind w:left="113" w:right="113"/>
              <w:jc w:val="center"/>
              <w:rPr>
                <w:rFonts w:ascii="Arial" w:hAnsi="Arial" w:cs="Arial"/>
                <w:b/>
                <w:sz w:val="20"/>
                <w:szCs w:val="20"/>
              </w:rPr>
            </w:pPr>
          </w:p>
        </w:tc>
      </w:tr>
      <w:tr w:rsidR="000E2E22" w:rsidRPr="00A578F1" w14:paraId="6F4173A7" w14:textId="77777777" w:rsidTr="003F3253">
        <w:trPr>
          <w:cantSplit/>
          <w:trHeight w:val="2535"/>
        </w:trPr>
        <w:tc>
          <w:tcPr>
            <w:tcW w:w="499" w:type="dxa"/>
            <w:vMerge/>
            <w:tcBorders>
              <w:left w:val="nil"/>
              <w:right w:val="nil"/>
            </w:tcBorders>
            <w:textDirection w:val="btLr"/>
            <w:vAlign w:val="center"/>
          </w:tcPr>
          <w:p w14:paraId="3F40F865"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3A860A44"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4344A8CC"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3C0C68A3" w14:textId="56CD385D"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documentaire</w:t>
            </w:r>
          </w:p>
        </w:tc>
        <w:tc>
          <w:tcPr>
            <w:tcW w:w="2022" w:type="dxa"/>
            <w:tcBorders>
              <w:left w:val="nil"/>
              <w:right w:val="nil"/>
            </w:tcBorders>
            <w:shd w:val="clear" w:color="auto" w:fill="E7E6E6" w:themeFill="background2"/>
            <w:vAlign w:val="center"/>
          </w:tcPr>
          <w:p w14:paraId="4316F67A" w14:textId="04AC6BAA" w:rsidR="000E2E22" w:rsidRPr="00A578F1" w:rsidRDefault="000E2E22" w:rsidP="00A50B1F">
            <w:pPr>
              <w:rPr>
                <w:rFonts w:ascii="Arial" w:hAnsi="Arial" w:cs="Arial"/>
                <w:b/>
                <w:sz w:val="20"/>
                <w:szCs w:val="20"/>
              </w:rPr>
            </w:pPr>
            <w:r w:rsidRPr="00A578F1">
              <w:rPr>
                <w:rFonts w:ascii="Arial" w:hAnsi="Arial" w:cs="Arial"/>
                <w:b/>
                <w:sz w:val="20"/>
                <w:szCs w:val="20"/>
              </w:rPr>
              <w:t>11. Etude d’un vol d’avion ??</w:t>
            </w:r>
          </w:p>
        </w:tc>
        <w:tc>
          <w:tcPr>
            <w:tcW w:w="3837" w:type="dxa"/>
            <w:gridSpan w:val="2"/>
            <w:tcBorders>
              <w:left w:val="nil"/>
            </w:tcBorders>
          </w:tcPr>
          <w:p w14:paraId="2C64CE0C" w14:textId="77777777" w:rsidR="009779CF" w:rsidRPr="000F7865" w:rsidRDefault="009779CF" w:rsidP="009779CF">
            <w:pPr>
              <w:pStyle w:val="Default"/>
              <w:rPr>
                <w:sz w:val="20"/>
                <w:szCs w:val="20"/>
              </w:rPr>
            </w:pPr>
            <w:r w:rsidRPr="000F7865">
              <w:rPr>
                <w:sz w:val="20"/>
                <w:szCs w:val="20"/>
              </w:rPr>
              <w:t xml:space="preserve">On repère un point à la surface de la Terre par deux coordonnées angulaires, sa latitude et sa longitude. </w:t>
            </w:r>
          </w:p>
          <w:p w14:paraId="62FA882D" w14:textId="38EF69D0" w:rsidR="000E2E22" w:rsidRPr="000F7865" w:rsidRDefault="009779CF" w:rsidP="009779CF">
            <w:pPr>
              <w:rPr>
                <w:rFonts w:ascii="Arial" w:hAnsi="Arial" w:cs="Arial"/>
                <w:sz w:val="20"/>
                <w:szCs w:val="20"/>
              </w:rPr>
            </w:pPr>
            <w:r w:rsidRPr="000F7865">
              <w:rPr>
                <w:rFonts w:ascii="Arial" w:hAnsi="Arial" w:cs="Arial"/>
                <w:sz w:val="20"/>
                <w:szCs w:val="20"/>
              </w:rPr>
              <w:t xml:space="preserve">Le plus court chemin entre deux points à la surface de la Terre est l’arc du grand cercle qui les relie. </w:t>
            </w:r>
          </w:p>
        </w:tc>
        <w:tc>
          <w:tcPr>
            <w:tcW w:w="3969" w:type="dxa"/>
            <w:tcBorders>
              <w:right w:val="nil"/>
            </w:tcBorders>
          </w:tcPr>
          <w:p w14:paraId="404708BB"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37ADAB74"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B4C6E7" w:themeFill="accent1" w:themeFillTint="66"/>
            <w:textDirection w:val="tbRl"/>
            <w:vAlign w:val="center"/>
          </w:tcPr>
          <w:p w14:paraId="0026B45F" w14:textId="4C0A06A4"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D9E2F3" w:themeFill="accent1" w:themeFillTint="33"/>
            <w:textDirection w:val="tbRl"/>
            <w:vAlign w:val="center"/>
          </w:tcPr>
          <w:p w14:paraId="67E24A18" w14:textId="77777777" w:rsidR="000E2E22" w:rsidRPr="00A578F1" w:rsidRDefault="000E2E22" w:rsidP="00ED19EC">
            <w:pPr>
              <w:ind w:left="113" w:right="113"/>
              <w:jc w:val="center"/>
              <w:rPr>
                <w:rFonts w:ascii="Arial" w:hAnsi="Arial" w:cs="Arial"/>
                <w:b/>
                <w:sz w:val="20"/>
                <w:szCs w:val="20"/>
              </w:rPr>
            </w:pPr>
          </w:p>
        </w:tc>
      </w:tr>
      <w:tr w:rsidR="000E2E22" w:rsidRPr="00A578F1" w14:paraId="480D246D" w14:textId="77777777" w:rsidTr="003F3253">
        <w:trPr>
          <w:cantSplit/>
          <w:trHeight w:val="2543"/>
        </w:trPr>
        <w:tc>
          <w:tcPr>
            <w:tcW w:w="499" w:type="dxa"/>
            <w:vMerge w:val="restart"/>
            <w:tcBorders>
              <w:left w:val="nil"/>
              <w:right w:val="nil"/>
            </w:tcBorders>
            <w:textDirection w:val="btLr"/>
            <w:vAlign w:val="center"/>
          </w:tcPr>
          <w:p w14:paraId="3CFEBC56" w14:textId="68FC724C"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 xml:space="preserve">Chapitre 5 : </w:t>
            </w:r>
          </w:p>
        </w:tc>
        <w:tc>
          <w:tcPr>
            <w:tcW w:w="583" w:type="dxa"/>
            <w:tcBorders>
              <w:left w:val="nil"/>
              <w:right w:val="nil"/>
            </w:tcBorders>
            <w:shd w:val="clear" w:color="auto" w:fill="E7E6E6" w:themeFill="background2"/>
            <w:vAlign w:val="center"/>
          </w:tcPr>
          <w:p w14:paraId="138C1406"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7FE8E96A"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254F9367" w14:textId="4C55D9E0"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documentaire</w:t>
            </w:r>
          </w:p>
        </w:tc>
        <w:tc>
          <w:tcPr>
            <w:tcW w:w="2022" w:type="dxa"/>
            <w:tcBorders>
              <w:left w:val="nil"/>
              <w:right w:val="nil"/>
            </w:tcBorders>
            <w:shd w:val="clear" w:color="auto" w:fill="E7E6E6" w:themeFill="background2"/>
            <w:vAlign w:val="center"/>
          </w:tcPr>
          <w:p w14:paraId="78D68EB0" w14:textId="0E1AD060" w:rsidR="000E2E22" w:rsidRPr="00A578F1" w:rsidRDefault="000E2E22" w:rsidP="00A50B1F">
            <w:pPr>
              <w:rPr>
                <w:rFonts w:ascii="Arial" w:hAnsi="Arial" w:cs="Arial"/>
                <w:b/>
                <w:sz w:val="20"/>
                <w:szCs w:val="20"/>
              </w:rPr>
            </w:pPr>
            <w:r w:rsidRPr="00A578F1">
              <w:rPr>
                <w:rFonts w:ascii="Arial" w:hAnsi="Arial" w:cs="Arial"/>
                <w:b/>
                <w:sz w:val="20"/>
                <w:szCs w:val="20"/>
              </w:rPr>
              <w:t>12. Approche historique ? Frise chronologique ? Débat d’époque ?</w:t>
            </w:r>
          </w:p>
        </w:tc>
        <w:tc>
          <w:tcPr>
            <w:tcW w:w="3837" w:type="dxa"/>
            <w:gridSpan w:val="2"/>
            <w:tcBorders>
              <w:left w:val="nil"/>
            </w:tcBorders>
          </w:tcPr>
          <w:p w14:paraId="65838EED" w14:textId="77777777" w:rsidR="009779CF" w:rsidRPr="000F7865" w:rsidRDefault="009779CF" w:rsidP="009779CF">
            <w:pPr>
              <w:pStyle w:val="Default"/>
              <w:rPr>
                <w:sz w:val="20"/>
                <w:szCs w:val="20"/>
              </w:rPr>
            </w:pPr>
            <w:r w:rsidRPr="000F7865">
              <w:rPr>
                <w:sz w:val="20"/>
                <w:szCs w:val="20"/>
              </w:rPr>
              <w:t xml:space="preserve">Observée dans un référentiel fixe par rapport aux étoiles, la Terre parcourt une trajectoire quasi circulaire autour du Soleil. </w:t>
            </w:r>
          </w:p>
          <w:p w14:paraId="5A2CDF96" w14:textId="4C0F2B74" w:rsidR="000E2E22" w:rsidRPr="000F7865" w:rsidRDefault="009779CF" w:rsidP="009779CF">
            <w:pPr>
              <w:rPr>
                <w:rFonts w:ascii="Arial" w:hAnsi="Arial" w:cs="Arial"/>
                <w:sz w:val="20"/>
                <w:szCs w:val="20"/>
              </w:rPr>
            </w:pPr>
            <w:r w:rsidRPr="000F7865">
              <w:rPr>
                <w:rFonts w:ascii="Arial" w:hAnsi="Arial" w:cs="Arial"/>
                <w:sz w:val="20"/>
                <w:szCs w:val="20"/>
              </w:rPr>
              <w:t xml:space="preserve">Le passage d’une conception géocentrique à une conception héliocentrique constitue l’une des controverses majeures de l’histoire des sciences. </w:t>
            </w:r>
          </w:p>
        </w:tc>
        <w:tc>
          <w:tcPr>
            <w:tcW w:w="3969" w:type="dxa"/>
            <w:tcBorders>
              <w:right w:val="nil"/>
            </w:tcBorders>
          </w:tcPr>
          <w:p w14:paraId="5D30188C" w14:textId="77777777" w:rsidR="009779CF" w:rsidRPr="000F7865" w:rsidRDefault="009779CF" w:rsidP="009779CF">
            <w:pPr>
              <w:pStyle w:val="Default"/>
              <w:rPr>
                <w:sz w:val="20"/>
                <w:szCs w:val="20"/>
              </w:rPr>
            </w:pPr>
            <w:r w:rsidRPr="000F7865">
              <w:rPr>
                <w:sz w:val="20"/>
                <w:szCs w:val="20"/>
              </w:rPr>
              <w:t xml:space="preserve">Interpréter des documents présentant des arguments historiques pour discuter la théorie héliocentrique. </w:t>
            </w:r>
          </w:p>
          <w:p w14:paraId="068A5BD5"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23EC472C"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left w:val="nil"/>
              <w:right w:val="nil"/>
            </w:tcBorders>
            <w:shd w:val="clear" w:color="auto" w:fill="8EAADB" w:themeFill="accent1" w:themeFillTint="99"/>
            <w:textDirection w:val="tbRl"/>
            <w:vAlign w:val="center"/>
          </w:tcPr>
          <w:p w14:paraId="04F1A1CC" w14:textId="6CF8E814"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3.3</w:t>
            </w:r>
            <w:r w:rsidRPr="00A578F1">
              <w:rPr>
                <w:rFonts w:ascii="Arial" w:hAnsi="Arial" w:cs="Arial"/>
                <w:b/>
                <w:sz w:val="20"/>
                <w:szCs w:val="20"/>
                <w:shd w:val="clear" w:color="auto" w:fill="8EAADB" w:themeFill="accent1" w:themeFillTint="99"/>
              </w:rPr>
              <w:t>- La Terre dan</w:t>
            </w:r>
            <w:r w:rsidRPr="00A578F1">
              <w:rPr>
                <w:rFonts w:ascii="Arial" w:hAnsi="Arial" w:cs="Arial"/>
                <w:b/>
                <w:sz w:val="20"/>
                <w:szCs w:val="20"/>
              </w:rPr>
              <w:t>s l’Univers</w:t>
            </w:r>
          </w:p>
        </w:tc>
        <w:tc>
          <w:tcPr>
            <w:tcW w:w="498" w:type="dxa"/>
            <w:vMerge/>
            <w:tcBorders>
              <w:left w:val="nil"/>
              <w:right w:val="nil"/>
            </w:tcBorders>
            <w:shd w:val="clear" w:color="auto" w:fill="D9E2F3" w:themeFill="accent1" w:themeFillTint="33"/>
            <w:textDirection w:val="tbRl"/>
            <w:vAlign w:val="center"/>
          </w:tcPr>
          <w:p w14:paraId="44D8B10D" w14:textId="77777777" w:rsidR="000E2E22" w:rsidRPr="00A578F1" w:rsidRDefault="000E2E22" w:rsidP="00ED19EC">
            <w:pPr>
              <w:ind w:left="113" w:right="113"/>
              <w:jc w:val="center"/>
              <w:rPr>
                <w:rFonts w:ascii="Arial" w:hAnsi="Arial" w:cs="Arial"/>
                <w:b/>
                <w:sz w:val="20"/>
                <w:szCs w:val="20"/>
              </w:rPr>
            </w:pPr>
          </w:p>
        </w:tc>
      </w:tr>
      <w:tr w:rsidR="000E2E22" w:rsidRPr="00A578F1" w14:paraId="25F0A0F2" w14:textId="77777777" w:rsidTr="003F3253">
        <w:trPr>
          <w:cantSplit/>
          <w:trHeight w:val="2124"/>
        </w:trPr>
        <w:tc>
          <w:tcPr>
            <w:tcW w:w="499" w:type="dxa"/>
            <w:vMerge/>
            <w:tcBorders>
              <w:left w:val="nil"/>
              <w:right w:val="nil"/>
            </w:tcBorders>
            <w:textDirection w:val="btLr"/>
            <w:vAlign w:val="center"/>
          </w:tcPr>
          <w:p w14:paraId="3B3B483C"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6C4EE915"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2A50A8D1"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736919D6" w14:textId="4D6E4FA5"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left w:val="nil"/>
              <w:right w:val="nil"/>
            </w:tcBorders>
            <w:shd w:val="clear" w:color="auto" w:fill="E7E6E6" w:themeFill="background2"/>
            <w:vAlign w:val="center"/>
          </w:tcPr>
          <w:p w14:paraId="221124A0" w14:textId="7D371DCB" w:rsidR="000E2E22" w:rsidRPr="00A578F1" w:rsidRDefault="000E2E22" w:rsidP="00A50B1F">
            <w:pPr>
              <w:rPr>
                <w:rFonts w:ascii="Arial" w:hAnsi="Arial" w:cs="Arial"/>
                <w:b/>
                <w:sz w:val="20"/>
                <w:szCs w:val="20"/>
              </w:rPr>
            </w:pPr>
            <w:r w:rsidRPr="00A578F1">
              <w:rPr>
                <w:rFonts w:ascii="Arial" w:hAnsi="Arial" w:cs="Arial"/>
                <w:b/>
                <w:sz w:val="20"/>
                <w:szCs w:val="20"/>
              </w:rPr>
              <w:t>13. Les phases de la lune ??</w:t>
            </w:r>
          </w:p>
        </w:tc>
        <w:tc>
          <w:tcPr>
            <w:tcW w:w="3837" w:type="dxa"/>
            <w:gridSpan w:val="2"/>
            <w:tcBorders>
              <w:left w:val="nil"/>
            </w:tcBorders>
          </w:tcPr>
          <w:p w14:paraId="1D6C29B4" w14:textId="77777777" w:rsidR="009779CF" w:rsidRPr="000F7865" w:rsidRDefault="009779CF" w:rsidP="009779CF">
            <w:pPr>
              <w:pStyle w:val="Default"/>
              <w:rPr>
                <w:sz w:val="20"/>
                <w:szCs w:val="20"/>
              </w:rPr>
            </w:pPr>
            <w:r w:rsidRPr="000F7865">
              <w:rPr>
                <w:sz w:val="20"/>
                <w:szCs w:val="20"/>
              </w:rPr>
              <w:t xml:space="preserve">Observée dans un référentiel géocentrique, la Lune tourne autour de la Terre sur une trajectoire quasi-circulaire. Elle présente un aspect qui varie au cours de cette rotation (phases). </w:t>
            </w:r>
          </w:p>
          <w:p w14:paraId="06B6C799" w14:textId="626373F5" w:rsidR="000E2E22" w:rsidRPr="000F7865" w:rsidRDefault="009779CF" w:rsidP="009779CF">
            <w:pPr>
              <w:rPr>
                <w:rFonts w:ascii="Arial" w:hAnsi="Arial" w:cs="Arial"/>
                <w:sz w:val="20"/>
                <w:szCs w:val="20"/>
              </w:rPr>
            </w:pPr>
            <w:r w:rsidRPr="000F7865">
              <w:rPr>
                <w:rFonts w:ascii="Arial" w:hAnsi="Arial" w:cs="Arial"/>
                <w:sz w:val="20"/>
                <w:szCs w:val="20"/>
              </w:rPr>
              <w:t xml:space="preserve">La Lune tourne également sur elle-même et présente toujours la même face à la Terre. </w:t>
            </w:r>
          </w:p>
        </w:tc>
        <w:tc>
          <w:tcPr>
            <w:tcW w:w="3969" w:type="dxa"/>
            <w:tcBorders>
              <w:right w:val="nil"/>
            </w:tcBorders>
          </w:tcPr>
          <w:p w14:paraId="339BA89B" w14:textId="77777777" w:rsidR="009779CF" w:rsidRPr="000F7865" w:rsidRDefault="009779CF" w:rsidP="009779CF">
            <w:pPr>
              <w:pStyle w:val="Default"/>
              <w:rPr>
                <w:sz w:val="20"/>
                <w:szCs w:val="20"/>
              </w:rPr>
            </w:pPr>
            <w:r w:rsidRPr="000F7865">
              <w:rPr>
                <w:sz w:val="20"/>
                <w:szCs w:val="20"/>
              </w:rPr>
              <w:t xml:space="preserve">Interpréter l’aspect de la Lune dans le ciel en fonction de sa position par rapport à la Terre et au Soleil. </w:t>
            </w:r>
          </w:p>
          <w:p w14:paraId="2D13F846" w14:textId="24BE7E69"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58C4E278"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8EAADB" w:themeFill="accent1" w:themeFillTint="99"/>
            <w:textDirection w:val="tbRl"/>
            <w:vAlign w:val="center"/>
          </w:tcPr>
          <w:p w14:paraId="7228580A" w14:textId="0A9D8A0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D9E2F3" w:themeFill="accent1" w:themeFillTint="33"/>
            <w:textDirection w:val="tbRl"/>
            <w:vAlign w:val="center"/>
          </w:tcPr>
          <w:p w14:paraId="10C663D5" w14:textId="77777777" w:rsidR="000E2E22" w:rsidRPr="00A578F1" w:rsidRDefault="000E2E22" w:rsidP="00ED19EC">
            <w:pPr>
              <w:ind w:left="113" w:right="113"/>
              <w:jc w:val="center"/>
              <w:rPr>
                <w:rFonts w:ascii="Arial" w:hAnsi="Arial" w:cs="Arial"/>
                <w:b/>
                <w:sz w:val="20"/>
                <w:szCs w:val="20"/>
              </w:rPr>
            </w:pPr>
          </w:p>
        </w:tc>
      </w:tr>
      <w:tr w:rsidR="000E2E22" w:rsidRPr="00A578F1" w14:paraId="6E7E3C6B" w14:textId="77777777" w:rsidTr="003F3253">
        <w:trPr>
          <w:cantSplit/>
          <w:trHeight w:val="398"/>
        </w:trPr>
        <w:tc>
          <w:tcPr>
            <w:tcW w:w="499" w:type="dxa"/>
            <w:vMerge/>
            <w:tcBorders>
              <w:left w:val="nil"/>
              <w:right w:val="nil"/>
            </w:tcBorders>
            <w:textDirection w:val="btLr"/>
            <w:vAlign w:val="center"/>
          </w:tcPr>
          <w:p w14:paraId="1EFA45CB"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02543399" w14:textId="3245B64F"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4B701BB6" w14:textId="25C731AC"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4</w:t>
            </w:r>
          </w:p>
        </w:tc>
        <w:tc>
          <w:tcPr>
            <w:tcW w:w="7806" w:type="dxa"/>
            <w:gridSpan w:val="3"/>
            <w:tcBorders>
              <w:left w:val="nil"/>
              <w:right w:val="nil"/>
            </w:tcBorders>
            <w:shd w:val="clear" w:color="auto" w:fill="E7E6E6" w:themeFill="background2"/>
          </w:tcPr>
          <w:p w14:paraId="0FD1D002" w14:textId="77777777" w:rsidR="000E2E22" w:rsidRPr="000F7865" w:rsidRDefault="000E2E22" w:rsidP="00ED19EC">
            <w:pPr>
              <w:rPr>
                <w:rFonts w:ascii="Arial" w:hAnsi="Arial" w:cs="Arial"/>
                <w:sz w:val="20"/>
                <w:szCs w:val="20"/>
              </w:rPr>
            </w:pPr>
          </w:p>
        </w:tc>
        <w:tc>
          <w:tcPr>
            <w:tcW w:w="3398" w:type="dxa"/>
            <w:tcBorders>
              <w:left w:val="nil"/>
              <w:right w:val="nil"/>
            </w:tcBorders>
            <w:shd w:val="clear" w:color="auto" w:fill="E7E6E6" w:themeFill="background2"/>
            <w:textDirection w:val="tbRl"/>
          </w:tcPr>
          <w:p w14:paraId="32E5E3FF"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8EAADB" w:themeFill="accent1" w:themeFillTint="99"/>
            <w:textDirection w:val="tbRl"/>
            <w:vAlign w:val="center"/>
          </w:tcPr>
          <w:p w14:paraId="7F259EE2" w14:textId="7C826EE9"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D9E2F3" w:themeFill="accent1" w:themeFillTint="33"/>
            <w:textDirection w:val="tbRl"/>
            <w:vAlign w:val="center"/>
          </w:tcPr>
          <w:p w14:paraId="614D5337" w14:textId="77777777" w:rsidR="000E2E22" w:rsidRPr="00A578F1" w:rsidRDefault="000E2E22" w:rsidP="00ED19EC">
            <w:pPr>
              <w:ind w:left="113" w:right="113"/>
              <w:jc w:val="center"/>
              <w:rPr>
                <w:rFonts w:ascii="Arial" w:hAnsi="Arial" w:cs="Arial"/>
                <w:b/>
                <w:sz w:val="20"/>
                <w:szCs w:val="20"/>
              </w:rPr>
            </w:pPr>
          </w:p>
        </w:tc>
      </w:tr>
      <w:tr w:rsidR="000E2E22" w:rsidRPr="00A578F1" w14:paraId="0BD51684" w14:textId="77777777" w:rsidTr="003F3253">
        <w:trPr>
          <w:cantSplit/>
          <w:trHeight w:val="1134"/>
        </w:trPr>
        <w:tc>
          <w:tcPr>
            <w:tcW w:w="499" w:type="dxa"/>
            <w:vMerge w:val="restart"/>
            <w:tcBorders>
              <w:top w:val="double" w:sz="4" w:space="0" w:color="auto"/>
              <w:left w:val="nil"/>
              <w:right w:val="nil"/>
            </w:tcBorders>
            <w:textDirection w:val="btLr"/>
            <w:vAlign w:val="center"/>
          </w:tcPr>
          <w:p w14:paraId="1B5B3118" w14:textId="551455EA"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lastRenderedPageBreak/>
              <w:t xml:space="preserve">Chapitre 6 : </w:t>
            </w:r>
          </w:p>
        </w:tc>
        <w:tc>
          <w:tcPr>
            <w:tcW w:w="583" w:type="dxa"/>
            <w:tcBorders>
              <w:top w:val="double" w:sz="4" w:space="0" w:color="auto"/>
              <w:left w:val="nil"/>
              <w:right w:val="nil"/>
            </w:tcBorders>
            <w:shd w:val="clear" w:color="auto" w:fill="E7E6E6" w:themeFill="background2"/>
            <w:vAlign w:val="center"/>
          </w:tcPr>
          <w:p w14:paraId="14771CA5"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38929EE3" w14:textId="77777777" w:rsidR="000E2E22" w:rsidRPr="00A578F1" w:rsidRDefault="000E2E22" w:rsidP="00ED19EC">
            <w:pPr>
              <w:jc w:val="center"/>
              <w:rPr>
                <w:rFonts w:ascii="Arial" w:hAnsi="Arial" w:cs="Arial"/>
                <w:b/>
                <w:sz w:val="20"/>
                <w:szCs w:val="20"/>
              </w:rPr>
            </w:pPr>
          </w:p>
        </w:tc>
        <w:tc>
          <w:tcPr>
            <w:tcW w:w="578" w:type="dxa"/>
            <w:tcBorders>
              <w:top w:val="double" w:sz="4" w:space="0" w:color="auto"/>
              <w:left w:val="nil"/>
              <w:right w:val="nil"/>
            </w:tcBorders>
            <w:textDirection w:val="btLr"/>
            <w:vAlign w:val="center"/>
          </w:tcPr>
          <w:p w14:paraId="6BE6461A" w14:textId="0B731299"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top w:val="double" w:sz="4" w:space="0" w:color="auto"/>
              <w:left w:val="nil"/>
              <w:right w:val="nil"/>
            </w:tcBorders>
            <w:shd w:val="clear" w:color="auto" w:fill="E7E6E6" w:themeFill="background2"/>
            <w:vAlign w:val="center"/>
          </w:tcPr>
          <w:p w14:paraId="7C1C32E7" w14:textId="5843C574" w:rsidR="000E2E22" w:rsidRPr="00A578F1" w:rsidRDefault="000E2E22" w:rsidP="00A50B1F">
            <w:pPr>
              <w:rPr>
                <w:rFonts w:ascii="Arial" w:hAnsi="Arial" w:cs="Arial"/>
                <w:b/>
                <w:sz w:val="20"/>
                <w:szCs w:val="20"/>
              </w:rPr>
            </w:pPr>
            <w:r w:rsidRPr="00A578F1">
              <w:rPr>
                <w:rFonts w:ascii="Arial" w:hAnsi="Arial" w:cs="Arial"/>
                <w:b/>
                <w:sz w:val="20"/>
                <w:szCs w:val="20"/>
              </w:rPr>
              <w:t xml:space="preserve">14. Analyse du son (enregistrement, décomposition de </w:t>
            </w:r>
            <w:proofErr w:type="spellStart"/>
            <w:r w:rsidRPr="00A578F1">
              <w:rPr>
                <w:rFonts w:ascii="Arial" w:hAnsi="Arial" w:cs="Arial"/>
                <w:b/>
                <w:sz w:val="20"/>
                <w:szCs w:val="20"/>
              </w:rPr>
              <w:t>fourier</w:t>
            </w:r>
            <w:proofErr w:type="spellEnd"/>
            <w:r w:rsidRPr="00A578F1">
              <w:rPr>
                <w:rFonts w:ascii="Arial" w:hAnsi="Arial" w:cs="Arial"/>
                <w:b/>
                <w:sz w:val="20"/>
                <w:szCs w:val="20"/>
              </w:rPr>
              <w:t>, simple complexe) ??</w:t>
            </w:r>
          </w:p>
        </w:tc>
        <w:tc>
          <w:tcPr>
            <w:tcW w:w="3837" w:type="dxa"/>
            <w:gridSpan w:val="2"/>
            <w:tcBorders>
              <w:top w:val="double" w:sz="4" w:space="0" w:color="auto"/>
              <w:left w:val="nil"/>
            </w:tcBorders>
          </w:tcPr>
          <w:p w14:paraId="444FE961" w14:textId="77777777" w:rsidR="009779CF" w:rsidRPr="000F7865" w:rsidRDefault="009779CF" w:rsidP="009779CF">
            <w:pPr>
              <w:pStyle w:val="Default"/>
              <w:rPr>
                <w:sz w:val="20"/>
                <w:szCs w:val="20"/>
              </w:rPr>
            </w:pPr>
            <w:r w:rsidRPr="000F7865">
              <w:rPr>
                <w:sz w:val="20"/>
                <w:szCs w:val="20"/>
              </w:rPr>
              <w:t xml:space="preserve">Un son pur est associé à un signal dépendant du temps de façon sinusoïdale. </w:t>
            </w:r>
          </w:p>
          <w:p w14:paraId="48B91903" w14:textId="77777777" w:rsidR="009779CF" w:rsidRPr="000F7865" w:rsidRDefault="009779CF" w:rsidP="009779CF">
            <w:pPr>
              <w:pStyle w:val="Default"/>
              <w:rPr>
                <w:sz w:val="20"/>
                <w:szCs w:val="20"/>
              </w:rPr>
            </w:pPr>
            <w:r w:rsidRPr="000F7865">
              <w:rPr>
                <w:sz w:val="20"/>
                <w:szCs w:val="20"/>
              </w:rPr>
              <w:t xml:space="preserve">Un signal périodique de fréquence </w:t>
            </w:r>
            <w:r w:rsidRPr="000F7865">
              <w:rPr>
                <w:i/>
                <w:iCs/>
                <w:sz w:val="20"/>
                <w:szCs w:val="20"/>
              </w:rPr>
              <w:t xml:space="preserve">f </w:t>
            </w:r>
            <w:r w:rsidRPr="000F7865">
              <w:rPr>
                <w:sz w:val="20"/>
                <w:szCs w:val="20"/>
              </w:rPr>
              <w:t xml:space="preserve">se décompose en une somme de signaux sinusoïdaux de fréquences multiples de </w:t>
            </w:r>
            <w:r w:rsidRPr="000F7865">
              <w:rPr>
                <w:i/>
                <w:iCs/>
                <w:sz w:val="20"/>
                <w:szCs w:val="20"/>
              </w:rPr>
              <w:t>f</w:t>
            </w:r>
            <w:r w:rsidRPr="000F7865">
              <w:rPr>
                <w:sz w:val="20"/>
                <w:szCs w:val="20"/>
              </w:rPr>
              <w:t xml:space="preserve">. Le son associé à ce signal est un son composé. </w:t>
            </w:r>
          </w:p>
          <w:p w14:paraId="60D9B1A4" w14:textId="38222248" w:rsidR="000E2E22" w:rsidRPr="000F7865" w:rsidRDefault="009779CF" w:rsidP="009779CF">
            <w:pPr>
              <w:rPr>
                <w:rFonts w:ascii="Arial" w:hAnsi="Arial" w:cs="Arial"/>
                <w:sz w:val="20"/>
                <w:szCs w:val="20"/>
              </w:rPr>
            </w:pPr>
            <w:proofErr w:type="gramStart"/>
            <w:r w:rsidRPr="000F7865">
              <w:rPr>
                <w:rFonts w:ascii="Arial" w:hAnsi="Arial" w:cs="Arial"/>
                <w:i/>
                <w:iCs/>
                <w:sz w:val="20"/>
                <w:szCs w:val="20"/>
              </w:rPr>
              <w:t>f</w:t>
            </w:r>
            <w:proofErr w:type="gramEnd"/>
            <w:r w:rsidRPr="000F7865">
              <w:rPr>
                <w:rFonts w:ascii="Arial" w:hAnsi="Arial" w:cs="Arial"/>
                <w:i/>
                <w:iCs/>
                <w:sz w:val="20"/>
                <w:szCs w:val="20"/>
              </w:rPr>
              <w:t xml:space="preserve"> </w:t>
            </w:r>
            <w:r w:rsidRPr="000F7865">
              <w:rPr>
                <w:rFonts w:ascii="Arial" w:hAnsi="Arial" w:cs="Arial"/>
                <w:sz w:val="20"/>
                <w:szCs w:val="20"/>
              </w:rPr>
              <w:t xml:space="preserve">est appelée fréquence fondamentale, les autres fréquences sont appelées harmoniques. </w:t>
            </w:r>
          </w:p>
        </w:tc>
        <w:tc>
          <w:tcPr>
            <w:tcW w:w="3969" w:type="dxa"/>
            <w:tcBorders>
              <w:top w:val="double" w:sz="4" w:space="0" w:color="auto"/>
              <w:right w:val="nil"/>
            </w:tcBorders>
          </w:tcPr>
          <w:p w14:paraId="64D9EFD7" w14:textId="77777777" w:rsidR="009779CF" w:rsidRPr="000F7865" w:rsidRDefault="009779CF" w:rsidP="009779CF">
            <w:pPr>
              <w:pStyle w:val="Default"/>
              <w:rPr>
                <w:sz w:val="20"/>
                <w:szCs w:val="20"/>
              </w:rPr>
            </w:pPr>
            <w:r w:rsidRPr="000F7865">
              <w:rPr>
                <w:sz w:val="20"/>
                <w:szCs w:val="20"/>
              </w:rPr>
              <w:t xml:space="preserve">Utiliser un logiciel permettant de visualiser le spectre d’un son. </w:t>
            </w:r>
          </w:p>
          <w:p w14:paraId="1A80C5CF" w14:textId="7E902A68" w:rsidR="000E2E22" w:rsidRPr="000F7865" w:rsidRDefault="009779CF" w:rsidP="009779CF">
            <w:pPr>
              <w:rPr>
                <w:rFonts w:ascii="Arial" w:hAnsi="Arial" w:cs="Arial"/>
                <w:sz w:val="20"/>
                <w:szCs w:val="20"/>
              </w:rPr>
            </w:pPr>
            <w:r w:rsidRPr="000F7865">
              <w:rPr>
                <w:rFonts w:ascii="Arial" w:hAnsi="Arial" w:cs="Arial"/>
                <w:sz w:val="20"/>
                <w:szCs w:val="20"/>
              </w:rPr>
              <w:t xml:space="preserve">Utiliser un logiciel pour produire des sons purs et composés. </w:t>
            </w:r>
          </w:p>
        </w:tc>
        <w:tc>
          <w:tcPr>
            <w:tcW w:w="3398" w:type="dxa"/>
            <w:tcBorders>
              <w:top w:val="double" w:sz="4" w:space="0" w:color="auto"/>
              <w:right w:val="nil"/>
            </w:tcBorders>
            <w:shd w:val="clear" w:color="auto" w:fill="E7E6E6" w:themeFill="background2"/>
            <w:textDirection w:val="tbRl"/>
          </w:tcPr>
          <w:p w14:paraId="24C7D48F"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top w:val="double" w:sz="4" w:space="0" w:color="auto"/>
              <w:left w:val="nil"/>
              <w:right w:val="nil"/>
            </w:tcBorders>
            <w:shd w:val="clear" w:color="auto" w:fill="F7CAAC" w:themeFill="accent2" w:themeFillTint="66"/>
            <w:textDirection w:val="tbRl"/>
            <w:vAlign w:val="center"/>
          </w:tcPr>
          <w:p w14:paraId="593158E2" w14:textId="63FABA3E"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4.1- Le son, phénomène vibratoire</w:t>
            </w:r>
          </w:p>
        </w:tc>
        <w:tc>
          <w:tcPr>
            <w:tcW w:w="498" w:type="dxa"/>
            <w:vMerge w:val="restart"/>
            <w:tcBorders>
              <w:top w:val="double" w:sz="4" w:space="0" w:color="auto"/>
              <w:left w:val="nil"/>
              <w:right w:val="nil"/>
            </w:tcBorders>
            <w:shd w:val="clear" w:color="auto" w:fill="FBE4D5" w:themeFill="accent2" w:themeFillTint="33"/>
            <w:textDirection w:val="tbRl"/>
            <w:vAlign w:val="center"/>
          </w:tcPr>
          <w:p w14:paraId="552BC944" w14:textId="7777777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4. Son et musique, porteurs d’information</w:t>
            </w:r>
          </w:p>
        </w:tc>
      </w:tr>
      <w:tr w:rsidR="000E2E22" w:rsidRPr="00A578F1" w14:paraId="3ED5FBB7" w14:textId="77777777" w:rsidTr="003F3253">
        <w:trPr>
          <w:cantSplit/>
          <w:trHeight w:val="1134"/>
        </w:trPr>
        <w:tc>
          <w:tcPr>
            <w:tcW w:w="499" w:type="dxa"/>
            <w:vMerge/>
            <w:tcBorders>
              <w:left w:val="nil"/>
              <w:right w:val="nil"/>
            </w:tcBorders>
            <w:textDirection w:val="btLr"/>
            <w:vAlign w:val="center"/>
          </w:tcPr>
          <w:p w14:paraId="08CD6D25"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4BE0D7D8"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0BC5442D"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29D5297F" w14:textId="59B7D5BC"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cours</w:t>
            </w:r>
          </w:p>
        </w:tc>
        <w:tc>
          <w:tcPr>
            <w:tcW w:w="2022" w:type="dxa"/>
            <w:tcBorders>
              <w:left w:val="nil"/>
              <w:right w:val="nil"/>
            </w:tcBorders>
            <w:shd w:val="clear" w:color="auto" w:fill="E7E6E6" w:themeFill="background2"/>
            <w:vAlign w:val="center"/>
          </w:tcPr>
          <w:p w14:paraId="71A5BAFC" w14:textId="64CCF399" w:rsidR="000E2E22" w:rsidRPr="00A578F1" w:rsidRDefault="000E2E22" w:rsidP="00A50B1F">
            <w:pPr>
              <w:rPr>
                <w:rFonts w:ascii="Arial" w:hAnsi="Arial" w:cs="Arial"/>
                <w:b/>
                <w:sz w:val="20"/>
                <w:szCs w:val="20"/>
              </w:rPr>
            </w:pPr>
            <w:r w:rsidRPr="00A578F1">
              <w:rPr>
                <w:rFonts w:ascii="Arial" w:hAnsi="Arial" w:cs="Arial"/>
                <w:b/>
                <w:sz w:val="20"/>
                <w:szCs w:val="20"/>
              </w:rPr>
              <w:t>15. Notion de puissance sonore, décibel (Expérience de cours)</w:t>
            </w:r>
          </w:p>
        </w:tc>
        <w:tc>
          <w:tcPr>
            <w:tcW w:w="3837" w:type="dxa"/>
            <w:gridSpan w:val="2"/>
            <w:tcBorders>
              <w:left w:val="nil"/>
            </w:tcBorders>
          </w:tcPr>
          <w:p w14:paraId="36F6009B" w14:textId="77777777" w:rsidR="009779CF" w:rsidRPr="000F7865" w:rsidRDefault="009779CF" w:rsidP="009779CF">
            <w:pPr>
              <w:pStyle w:val="Default"/>
              <w:rPr>
                <w:sz w:val="20"/>
                <w:szCs w:val="20"/>
              </w:rPr>
            </w:pPr>
            <w:r w:rsidRPr="000F7865">
              <w:rPr>
                <w:sz w:val="20"/>
                <w:szCs w:val="20"/>
              </w:rPr>
              <w:t xml:space="preserve">La puissance par unité de surface transportée par une onde sonore est quantifiée par son intensité. Son niveau d’intensité sonore est exprimé en décibels selon une échelle logarithmique. </w:t>
            </w:r>
          </w:p>
          <w:p w14:paraId="7E034B2E" w14:textId="77777777" w:rsidR="000E2E22" w:rsidRPr="000F7865" w:rsidRDefault="000E2E22" w:rsidP="00ED19EC">
            <w:pPr>
              <w:rPr>
                <w:rFonts w:ascii="Arial" w:hAnsi="Arial" w:cs="Arial"/>
                <w:sz w:val="20"/>
                <w:szCs w:val="20"/>
              </w:rPr>
            </w:pPr>
          </w:p>
        </w:tc>
        <w:tc>
          <w:tcPr>
            <w:tcW w:w="3969" w:type="dxa"/>
            <w:tcBorders>
              <w:right w:val="nil"/>
            </w:tcBorders>
          </w:tcPr>
          <w:p w14:paraId="4C4AF033" w14:textId="77777777" w:rsidR="009779CF" w:rsidRPr="000F7865" w:rsidRDefault="009779CF" w:rsidP="009779CF">
            <w:pPr>
              <w:pStyle w:val="Default"/>
              <w:rPr>
                <w:sz w:val="20"/>
                <w:szCs w:val="20"/>
              </w:rPr>
            </w:pPr>
            <w:r w:rsidRPr="000F7865">
              <w:rPr>
                <w:sz w:val="20"/>
                <w:szCs w:val="20"/>
              </w:rPr>
              <w:t xml:space="preserve">Relier puissance sonore par unité de surface et niveau d’intensité sonore exprimé en décibels. </w:t>
            </w:r>
          </w:p>
          <w:p w14:paraId="5F682ACE"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2312A555" w14:textId="77777777"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7CAAC" w:themeFill="accent2" w:themeFillTint="66"/>
            <w:textDirection w:val="tbRl"/>
            <w:vAlign w:val="center"/>
          </w:tcPr>
          <w:p w14:paraId="3A3F0DDB" w14:textId="7055B521"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BE4D5" w:themeFill="accent2" w:themeFillTint="33"/>
            <w:textDirection w:val="tbRl"/>
            <w:vAlign w:val="center"/>
          </w:tcPr>
          <w:p w14:paraId="20036F6A" w14:textId="77777777" w:rsidR="000E2E22" w:rsidRPr="00A578F1" w:rsidRDefault="000E2E22" w:rsidP="00ED19EC">
            <w:pPr>
              <w:ind w:left="113" w:right="113"/>
              <w:jc w:val="center"/>
              <w:rPr>
                <w:rFonts w:ascii="Arial" w:hAnsi="Arial" w:cs="Arial"/>
                <w:sz w:val="20"/>
                <w:szCs w:val="20"/>
              </w:rPr>
            </w:pPr>
          </w:p>
        </w:tc>
      </w:tr>
      <w:tr w:rsidR="000E2E22" w:rsidRPr="00A578F1" w14:paraId="704BF9BB" w14:textId="77777777" w:rsidTr="003F3253">
        <w:trPr>
          <w:cantSplit/>
          <w:trHeight w:val="1134"/>
        </w:trPr>
        <w:tc>
          <w:tcPr>
            <w:tcW w:w="499" w:type="dxa"/>
            <w:vMerge/>
            <w:tcBorders>
              <w:left w:val="nil"/>
              <w:right w:val="nil"/>
            </w:tcBorders>
            <w:textDirection w:val="btLr"/>
            <w:vAlign w:val="center"/>
          </w:tcPr>
          <w:p w14:paraId="32267CE3"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0991EF67"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3E99FB37"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34473AAF" w14:textId="0BFD289C"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left w:val="nil"/>
              <w:right w:val="nil"/>
            </w:tcBorders>
            <w:shd w:val="clear" w:color="auto" w:fill="E7E6E6" w:themeFill="background2"/>
            <w:vAlign w:val="center"/>
          </w:tcPr>
          <w:p w14:paraId="2BA30CEA" w14:textId="02DD5D7C" w:rsidR="000E2E22" w:rsidRPr="00A578F1" w:rsidRDefault="000E2E22" w:rsidP="00A50B1F">
            <w:pPr>
              <w:rPr>
                <w:rFonts w:ascii="Arial" w:hAnsi="Arial" w:cs="Arial"/>
                <w:b/>
                <w:sz w:val="20"/>
                <w:szCs w:val="20"/>
              </w:rPr>
            </w:pPr>
            <w:r w:rsidRPr="00A578F1">
              <w:rPr>
                <w:rFonts w:ascii="Arial" w:hAnsi="Arial" w:cs="Arial"/>
                <w:b/>
                <w:sz w:val="20"/>
                <w:szCs w:val="20"/>
              </w:rPr>
              <w:t xml:space="preserve">16. Instruments de musique à cordes + instruments à vent </w:t>
            </w:r>
            <w:proofErr w:type="gramStart"/>
            <w:r w:rsidRPr="00A578F1">
              <w:rPr>
                <w:rFonts w:ascii="Arial" w:hAnsi="Arial" w:cs="Arial"/>
                <w:b/>
                <w:sz w:val="20"/>
                <w:szCs w:val="20"/>
              </w:rPr>
              <w:t>( si</w:t>
            </w:r>
            <w:proofErr w:type="gramEnd"/>
            <w:r w:rsidRPr="00A578F1">
              <w:rPr>
                <w:rFonts w:ascii="Arial" w:hAnsi="Arial" w:cs="Arial"/>
                <w:b/>
                <w:sz w:val="20"/>
                <w:szCs w:val="20"/>
              </w:rPr>
              <w:t xml:space="preserve"> manque de temps, instrument à vent dans le bilan)</w:t>
            </w:r>
          </w:p>
        </w:tc>
        <w:tc>
          <w:tcPr>
            <w:tcW w:w="3837" w:type="dxa"/>
            <w:gridSpan w:val="2"/>
            <w:tcBorders>
              <w:left w:val="nil"/>
            </w:tcBorders>
          </w:tcPr>
          <w:p w14:paraId="7B4D7665" w14:textId="77777777" w:rsidR="009779CF" w:rsidRPr="000F7865" w:rsidRDefault="009779CF" w:rsidP="009779CF">
            <w:pPr>
              <w:pStyle w:val="Default"/>
              <w:rPr>
                <w:sz w:val="20"/>
                <w:szCs w:val="20"/>
              </w:rPr>
            </w:pPr>
            <w:r w:rsidRPr="000F7865">
              <w:rPr>
                <w:sz w:val="20"/>
                <w:szCs w:val="20"/>
              </w:rPr>
              <w:t xml:space="preserve">Une corde tendue émet en vibrant un son composé dont la fréquence fondamentale ne dépend que de ses caractéristiques (longueur, tension, masse linéique). </w:t>
            </w:r>
          </w:p>
          <w:p w14:paraId="29332F79" w14:textId="5BFA01C7" w:rsidR="000E2E22" w:rsidRPr="000F7865" w:rsidRDefault="009779CF" w:rsidP="009779CF">
            <w:pPr>
              <w:rPr>
                <w:rFonts w:ascii="Arial" w:hAnsi="Arial" w:cs="Arial"/>
                <w:sz w:val="20"/>
                <w:szCs w:val="20"/>
              </w:rPr>
            </w:pPr>
            <w:r w:rsidRPr="000F7865">
              <w:rPr>
                <w:rFonts w:ascii="Arial" w:hAnsi="Arial" w:cs="Arial"/>
                <w:sz w:val="20"/>
                <w:szCs w:val="20"/>
              </w:rPr>
              <w:t xml:space="preserve">Dans les instruments à vent, un phénomène analogue se produit par vibration de l’air dans un tuyau. </w:t>
            </w:r>
          </w:p>
        </w:tc>
        <w:tc>
          <w:tcPr>
            <w:tcW w:w="3969" w:type="dxa"/>
            <w:tcBorders>
              <w:right w:val="nil"/>
            </w:tcBorders>
          </w:tcPr>
          <w:p w14:paraId="7DC06B31" w14:textId="77777777" w:rsidR="009779CF" w:rsidRPr="000F7865" w:rsidRDefault="009779CF" w:rsidP="009779CF">
            <w:pPr>
              <w:pStyle w:val="Default"/>
              <w:rPr>
                <w:sz w:val="20"/>
                <w:szCs w:val="20"/>
              </w:rPr>
            </w:pPr>
            <w:r w:rsidRPr="000F7865">
              <w:rPr>
                <w:sz w:val="20"/>
                <w:szCs w:val="20"/>
              </w:rPr>
              <w:t xml:space="preserve">Relier qualitativement la fréquence fondamentale du signal émis et la longueur d’une corde vibrante. </w:t>
            </w:r>
          </w:p>
          <w:p w14:paraId="2BB0ECDB"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1BAE4DD8" w14:textId="77777777"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7CAAC" w:themeFill="accent2" w:themeFillTint="66"/>
            <w:textDirection w:val="tbRl"/>
            <w:vAlign w:val="center"/>
          </w:tcPr>
          <w:p w14:paraId="3D7B545E" w14:textId="1952E1D4"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BE4D5" w:themeFill="accent2" w:themeFillTint="33"/>
            <w:textDirection w:val="tbRl"/>
            <w:vAlign w:val="center"/>
          </w:tcPr>
          <w:p w14:paraId="3F606693" w14:textId="77777777" w:rsidR="000E2E22" w:rsidRPr="00A578F1" w:rsidRDefault="000E2E22" w:rsidP="00ED19EC">
            <w:pPr>
              <w:ind w:left="113" w:right="113"/>
              <w:jc w:val="center"/>
              <w:rPr>
                <w:rFonts w:ascii="Arial" w:hAnsi="Arial" w:cs="Arial"/>
                <w:sz w:val="20"/>
                <w:szCs w:val="20"/>
              </w:rPr>
            </w:pPr>
          </w:p>
        </w:tc>
      </w:tr>
      <w:tr w:rsidR="000E2E22" w:rsidRPr="00A578F1" w14:paraId="0FC71409" w14:textId="77777777" w:rsidTr="00D7776A">
        <w:trPr>
          <w:cantSplit/>
          <w:trHeight w:val="2464"/>
        </w:trPr>
        <w:tc>
          <w:tcPr>
            <w:tcW w:w="499" w:type="dxa"/>
            <w:vMerge/>
            <w:tcBorders>
              <w:left w:val="nil"/>
              <w:right w:val="nil"/>
            </w:tcBorders>
            <w:textDirection w:val="btLr"/>
            <w:vAlign w:val="center"/>
          </w:tcPr>
          <w:p w14:paraId="74D3C86C"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7BBCC0A8" w14:textId="081EDB93"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611C84FE" w14:textId="77B985C2"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5</w:t>
            </w:r>
          </w:p>
        </w:tc>
        <w:tc>
          <w:tcPr>
            <w:tcW w:w="7806" w:type="dxa"/>
            <w:gridSpan w:val="3"/>
            <w:tcBorders>
              <w:left w:val="nil"/>
              <w:right w:val="nil"/>
            </w:tcBorders>
            <w:shd w:val="clear" w:color="auto" w:fill="E7E6E6" w:themeFill="background2"/>
          </w:tcPr>
          <w:p w14:paraId="58C13B0E" w14:textId="77777777" w:rsidR="000E2E22" w:rsidRPr="000F7865" w:rsidRDefault="000E2E22" w:rsidP="00ED19EC">
            <w:pPr>
              <w:rPr>
                <w:rFonts w:ascii="Arial" w:hAnsi="Arial" w:cs="Arial"/>
                <w:sz w:val="20"/>
                <w:szCs w:val="20"/>
              </w:rPr>
            </w:pPr>
          </w:p>
        </w:tc>
        <w:tc>
          <w:tcPr>
            <w:tcW w:w="3398" w:type="dxa"/>
            <w:tcBorders>
              <w:left w:val="nil"/>
              <w:right w:val="nil"/>
            </w:tcBorders>
            <w:shd w:val="clear" w:color="auto" w:fill="E7E6E6" w:themeFill="background2"/>
            <w:textDirection w:val="tbRl"/>
          </w:tcPr>
          <w:p w14:paraId="7A05177C" w14:textId="77777777"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7CAAC" w:themeFill="accent2" w:themeFillTint="66"/>
            <w:textDirection w:val="tbRl"/>
            <w:vAlign w:val="center"/>
          </w:tcPr>
          <w:p w14:paraId="08035BB6" w14:textId="291A88F6"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BE4D5" w:themeFill="accent2" w:themeFillTint="33"/>
            <w:textDirection w:val="tbRl"/>
            <w:vAlign w:val="center"/>
          </w:tcPr>
          <w:p w14:paraId="03E1FD82" w14:textId="77777777" w:rsidR="000E2E22" w:rsidRPr="00A578F1" w:rsidRDefault="000E2E22" w:rsidP="00ED19EC">
            <w:pPr>
              <w:ind w:left="113" w:right="113"/>
              <w:jc w:val="center"/>
              <w:rPr>
                <w:rFonts w:ascii="Arial" w:hAnsi="Arial" w:cs="Arial"/>
                <w:sz w:val="20"/>
                <w:szCs w:val="20"/>
              </w:rPr>
            </w:pPr>
          </w:p>
        </w:tc>
      </w:tr>
      <w:tr w:rsidR="000E2E22" w:rsidRPr="00A578F1" w14:paraId="7F7EBDB8" w14:textId="77777777" w:rsidTr="003F3253">
        <w:trPr>
          <w:cantSplit/>
          <w:trHeight w:val="1134"/>
        </w:trPr>
        <w:tc>
          <w:tcPr>
            <w:tcW w:w="499" w:type="dxa"/>
            <w:vMerge w:val="restart"/>
            <w:tcBorders>
              <w:left w:val="nil"/>
              <w:right w:val="nil"/>
            </w:tcBorders>
            <w:textDirection w:val="btLr"/>
            <w:vAlign w:val="center"/>
          </w:tcPr>
          <w:p w14:paraId="2DB85D17" w14:textId="58849D99"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lastRenderedPageBreak/>
              <w:t xml:space="preserve">Chapitre 7 : </w:t>
            </w:r>
          </w:p>
        </w:tc>
        <w:tc>
          <w:tcPr>
            <w:tcW w:w="583" w:type="dxa"/>
            <w:tcBorders>
              <w:left w:val="nil"/>
              <w:right w:val="nil"/>
            </w:tcBorders>
            <w:shd w:val="clear" w:color="auto" w:fill="E7E6E6" w:themeFill="background2"/>
            <w:vAlign w:val="center"/>
          </w:tcPr>
          <w:p w14:paraId="14D81366"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406CF3F1"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2ED72DC2" w14:textId="2BBBE6D0"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left w:val="nil"/>
              <w:right w:val="nil"/>
            </w:tcBorders>
            <w:shd w:val="clear" w:color="auto" w:fill="E7E6E6" w:themeFill="background2"/>
            <w:vAlign w:val="center"/>
          </w:tcPr>
          <w:p w14:paraId="100330B7" w14:textId="62C9B366" w:rsidR="000E2E22" w:rsidRPr="00A578F1" w:rsidRDefault="000E2E22" w:rsidP="00A50B1F">
            <w:pPr>
              <w:rPr>
                <w:rFonts w:ascii="Arial" w:hAnsi="Arial" w:cs="Arial"/>
                <w:b/>
                <w:sz w:val="20"/>
                <w:szCs w:val="20"/>
              </w:rPr>
            </w:pPr>
            <w:r w:rsidRPr="00A578F1">
              <w:rPr>
                <w:rFonts w:ascii="Arial" w:hAnsi="Arial" w:cs="Arial"/>
                <w:b/>
                <w:sz w:val="20"/>
                <w:szCs w:val="20"/>
              </w:rPr>
              <w:t>17. Lien notes et fréquences et définition de l’octave ??</w:t>
            </w:r>
          </w:p>
        </w:tc>
        <w:tc>
          <w:tcPr>
            <w:tcW w:w="3837" w:type="dxa"/>
            <w:gridSpan w:val="2"/>
            <w:tcBorders>
              <w:left w:val="nil"/>
            </w:tcBorders>
          </w:tcPr>
          <w:p w14:paraId="244CD77B" w14:textId="77777777" w:rsidR="000F7865" w:rsidRPr="000F7865" w:rsidRDefault="000F7865" w:rsidP="000F7865">
            <w:pPr>
              <w:pStyle w:val="Default"/>
              <w:rPr>
                <w:sz w:val="20"/>
                <w:szCs w:val="20"/>
              </w:rPr>
            </w:pPr>
            <w:r w:rsidRPr="000F7865">
              <w:rPr>
                <w:sz w:val="20"/>
                <w:szCs w:val="20"/>
              </w:rPr>
              <w:t xml:space="preserve">En musique, un intervalle entre deux sons est défini par le rapport (et non la différence) de leurs fréquences fondamentales. </w:t>
            </w:r>
          </w:p>
          <w:p w14:paraId="657089A9" w14:textId="4FA44678" w:rsidR="000E2E22" w:rsidRPr="000F7865" w:rsidRDefault="000F7865" w:rsidP="000F7865">
            <w:pPr>
              <w:rPr>
                <w:rFonts w:ascii="Arial" w:hAnsi="Arial" w:cs="Arial"/>
                <w:sz w:val="20"/>
                <w:szCs w:val="20"/>
              </w:rPr>
            </w:pPr>
            <w:r w:rsidRPr="000F7865">
              <w:rPr>
                <w:rFonts w:ascii="Arial" w:hAnsi="Arial" w:cs="Arial"/>
                <w:sz w:val="20"/>
                <w:szCs w:val="20"/>
              </w:rPr>
              <w:t xml:space="preserve">Deux sons dont les fréquences sont dans le rapport 2/1 correspondent à une même note, à deux hauteurs différentes. L’intervalle qui les sépare s’appelle une octave. </w:t>
            </w:r>
          </w:p>
        </w:tc>
        <w:tc>
          <w:tcPr>
            <w:tcW w:w="3969" w:type="dxa"/>
            <w:tcBorders>
              <w:right w:val="nil"/>
            </w:tcBorders>
          </w:tcPr>
          <w:p w14:paraId="295E068A"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0AC0DEDB"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left w:val="nil"/>
              <w:right w:val="nil"/>
            </w:tcBorders>
            <w:shd w:val="clear" w:color="auto" w:fill="F4B083" w:themeFill="accent2" w:themeFillTint="99"/>
            <w:textDirection w:val="tbRl"/>
            <w:vAlign w:val="center"/>
          </w:tcPr>
          <w:p w14:paraId="172DB66D" w14:textId="19A5DAA0"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4.2- La musique ou l’art de faire entendre les nombres</w:t>
            </w:r>
          </w:p>
        </w:tc>
        <w:tc>
          <w:tcPr>
            <w:tcW w:w="498" w:type="dxa"/>
            <w:vMerge/>
            <w:tcBorders>
              <w:left w:val="nil"/>
              <w:right w:val="nil"/>
            </w:tcBorders>
            <w:shd w:val="clear" w:color="auto" w:fill="FBE4D5" w:themeFill="accent2" w:themeFillTint="33"/>
            <w:textDirection w:val="tbRl"/>
            <w:vAlign w:val="center"/>
          </w:tcPr>
          <w:p w14:paraId="4FBC225A" w14:textId="77777777" w:rsidR="000E2E22" w:rsidRPr="00A578F1" w:rsidRDefault="000E2E22" w:rsidP="00ED19EC">
            <w:pPr>
              <w:ind w:left="113" w:right="113"/>
              <w:jc w:val="center"/>
              <w:rPr>
                <w:rFonts w:ascii="Arial" w:hAnsi="Arial" w:cs="Arial"/>
                <w:sz w:val="20"/>
                <w:szCs w:val="20"/>
              </w:rPr>
            </w:pPr>
          </w:p>
        </w:tc>
      </w:tr>
      <w:tr w:rsidR="000E2E22" w:rsidRPr="00A578F1" w14:paraId="5461FA0B" w14:textId="77777777" w:rsidTr="003F3253">
        <w:trPr>
          <w:cantSplit/>
          <w:trHeight w:val="2522"/>
        </w:trPr>
        <w:tc>
          <w:tcPr>
            <w:tcW w:w="499" w:type="dxa"/>
            <w:vMerge/>
            <w:tcBorders>
              <w:left w:val="nil"/>
              <w:right w:val="nil"/>
            </w:tcBorders>
            <w:textDirection w:val="btLr"/>
            <w:vAlign w:val="center"/>
          </w:tcPr>
          <w:p w14:paraId="3C4132AE"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2C421A59"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7EF999B3"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488A7245" w14:textId="0FB49545"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Activité documentaire</w:t>
            </w:r>
          </w:p>
        </w:tc>
        <w:tc>
          <w:tcPr>
            <w:tcW w:w="2022" w:type="dxa"/>
            <w:tcBorders>
              <w:left w:val="nil"/>
              <w:right w:val="nil"/>
            </w:tcBorders>
            <w:shd w:val="clear" w:color="auto" w:fill="E7E6E6" w:themeFill="background2"/>
            <w:vAlign w:val="center"/>
          </w:tcPr>
          <w:p w14:paraId="024E9FDB" w14:textId="11C0B5D3" w:rsidR="000E2E22" w:rsidRPr="00A578F1" w:rsidRDefault="000E2E22" w:rsidP="00A50B1F">
            <w:pPr>
              <w:rPr>
                <w:rFonts w:ascii="Arial" w:hAnsi="Arial" w:cs="Arial"/>
                <w:b/>
                <w:sz w:val="20"/>
                <w:szCs w:val="20"/>
              </w:rPr>
            </w:pPr>
            <w:r w:rsidRPr="00A578F1">
              <w:rPr>
                <w:rFonts w:ascii="Arial" w:hAnsi="Arial" w:cs="Arial"/>
                <w:b/>
                <w:sz w:val="20"/>
                <w:szCs w:val="20"/>
              </w:rPr>
              <w:t>18. Approche historique : la gamme de Pythagore et les quintes ??</w:t>
            </w:r>
          </w:p>
        </w:tc>
        <w:tc>
          <w:tcPr>
            <w:tcW w:w="3837" w:type="dxa"/>
            <w:gridSpan w:val="2"/>
            <w:tcBorders>
              <w:left w:val="nil"/>
            </w:tcBorders>
          </w:tcPr>
          <w:p w14:paraId="2409F307" w14:textId="77777777" w:rsidR="000F7865" w:rsidRPr="000F7865" w:rsidRDefault="000F7865" w:rsidP="000F7865">
            <w:pPr>
              <w:pStyle w:val="Default"/>
              <w:rPr>
                <w:sz w:val="20"/>
                <w:szCs w:val="20"/>
              </w:rPr>
            </w:pPr>
            <w:r w:rsidRPr="000F7865">
              <w:rPr>
                <w:sz w:val="20"/>
                <w:szCs w:val="20"/>
              </w:rPr>
              <w:t xml:space="preserve">Une gamme est une suite finie de notes réparties sur une octave. </w:t>
            </w:r>
          </w:p>
          <w:p w14:paraId="2CBD13E8" w14:textId="77777777" w:rsidR="000F7865" w:rsidRPr="000F7865" w:rsidRDefault="000F7865" w:rsidP="000F7865">
            <w:pPr>
              <w:pStyle w:val="Default"/>
              <w:rPr>
                <w:sz w:val="20"/>
                <w:szCs w:val="20"/>
              </w:rPr>
            </w:pPr>
            <w:r w:rsidRPr="000F7865">
              <w:rPr>
                <w:sz w:val="20"/>
                <w:szCs w:val="20"/>
              </w:rPr>
              <w:t xml:space="preserve">Dans l’Antiquité, la construction des gammes était basée sur des fractions simples, (2/1, 3/2, 4/3, etc.). En effet, des sons dont les fréquences sont dans ces rapports simples étaient alors considérés comme les seuls à être consonants. </w:t>
            </w:r>
          </w:p>
          <w:p w14:paraId="6CB1863E" w14:textId="77777777" w:rsidR="000F7865" w:rsidRPr="000F7865" w:rsidRDefault="000F7865" w:rsidP="000F7865">
            <w:pPr>
              <w:pStyle w:val="Default"/>
              <w:rPr>
                <w:sz w:val="20"/>
                <w:szCs w:val="20"/>
              </w:rPr>
            </w:pPr>
            <w:r w:rsidRPr="000F7865">
              <w:rPr>
                <w:sz w:val="20"/>
                <w:szCs w:val="20"/>
              </w:rPr>
              <w:t xml:space="preserve">Une quinte est un intervalle entre deux fréquences de rapport 3/2. </w:t>
            </w:r>
          </w:p>
          <w:p w14:paraId="1D573F6C" w14:textId="36E75E4E" w:rsidR="000E2E22" w:rsidRPr="000F7865" w:rsidRDefault="000F7865" w:rsidP="000F7865">
            <w:pPr>
              <w:rPr>
                <w:rFonts w:ascii="Arial" w:hAnsi="Arial" w:cs="Arial"/>
                <w:sz w:val="20"/>
                <w:szCs w:val="20"/>
              </w:rPr>
            </w:pPr>
            <w:r w:rsidRPr="000F7865">
              <w:rPr>
                <w:rFonts w:ascii="Arial" w:hAnsi="Arial" w:cs="Arial"/>
                <w:sz w:val="20"/>
                <w:szCs w:val="20"/>
              </w:rPr>
              <w:t xml:space="preserve">Les gammes dites de Pythagore sont basées sur le cycle des quintes. </w:t>
            </w:r>
          </w:p>
        </w:tc>
        <w:tc>
          <w:tcPr>
            <w:tcW w:w="3969" w:type="dxa"/>
            <w:tcBorders>
              <w:right w:val="nil"/>
            </w:tcBorders>
          </w:tcPr>
          <w:p w14:paraId="26D88939" w14:textId="77777777" w:rsidR="000F7865" w:rsidRPr="000F7865" w:rsidRDefault="000F7865" w:rsidP="000F7865">
            <w:pPr>
              <w:pStyle w:val="Default"/>
              <w:rPr>
                <w:sz w:val="20"/>
                <w:szCs w:val="20"/>
              </w:rPr>
            </w:pPr>
            <w:r w:rsidRPr="000F7865">
              <w:rPr>
                <w:sz w:val="20"/>
                <w:szCs w:val="20"/>
              </w:rPr>
              <w:t xml:space="preserve">Calculer des puissances et des quotients en lien avec le cycle des quintes. </w:t>
            </w:r>
          </w:p>
          <w:p w14:paraId="3728C1D1" w14:textId="77777777" w:rsidR="000E2E22" w:rsidRPr="000F7865" w:rsidRDefault="000E2E22" w:rsidP="00ED19EC">
            <w:pPr>
              <w:rPr>
                <w:rFonts w:ascii="Arial" w:hAnsi="Arial" w:cs="Arial"/>
                <w:sz w:val="20"/>
                <w:szCs w:val="20"/>
              </w:rPr>
            </w:pPr>
          </w:p>
        </w:tc>
        <w:tc>
          <w:tcPr>
            <w:tcW w:w="3398" w:type="dxa"/>
            <w:tcBorders>
              <w:right w:val="nil"/>
            </w:tcBorders>
            <w:shd w:val="clear" w:color="auto" w:fill="E7E6E6" w:themeFill="background2"/>
            <w:textDirection w:val="tbRl"/>
          </w:tcPr>
          <w:p w14:paraId="6FB967BB"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F4B083" w:themeFill="accent2" w:themeFillTint="99"/>
            <w:textDirection w:val="tbRl"/>
            <w:vAlign w:val="center"/>
          </w:tcPr>
          <w:p w14:paraId="31A04685" w14:textId="1D94C795"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FBE4D5" w:themeFill="accent2" w:themeFillTint="33"/>
            <w:textDirection w:val="tbRl"/>
            <w:vAlign w:val="center"/>
          </w:tcPr>
          <w:p w14:paraId="6CBE1CC1" w14:textId="77777777" w:rsidR="000E2E22" w:rsidRPr="00A578F1" w:rsidRDefault="000E2E22" w:rsidP="00ED19EC">
            <w:pPr>
              <w:ind w:left="113" w:right="113"/>
              <w:jc w:val="center"/>
              <w:rPr>
                <w:rFonts w:ascii="Arial" w:hAnsi="Arial" w:cs="Arial"/>
                <w:sz w:val="20"/>
                <w:szCs w:val="20"/>
              </w:rPr>
            </w:pPr>
          </w:p>
        </w:tc>
      </w:tr>
      <w:tr w:rsidR="000E2E22" w:rsidRPr="00A578F1" w14:paraId="33DF7D0E" w14:textId="77777777" w:rsidTr="00D7776A">
        <w:trPr>
          <w:cantSplit/>
          <w:trHeight w:val="2267"/>
        </w:trPr>
        <w:tc>
          <w:tcPr>
            <w:tcW w:w="499" w:type="dxa"/>
            <w:vMerge/>
            <w:tcBorders>
              <w:left w:val="nil"/>
              <w:right w:val="nil"/>
            </w:tcBorders>
            <w:textDirection w:val="btLr"/>
            <w:vAlign w:val="center"/>
          </w:tcPr>
          <w:p w14:paraId="4DC2616B"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35203584"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2FB1D528"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544B2EF4" w14:textId="19994241"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RPS</w:t>
            </w:r>
          </w:p>
        </w:tc>
        <w:tc>
          <w:tcPr>
            <w:tcW w:w="2022" w:type="dxa"/>
            <w:tcBorders>
              <w:left w:val="nil"/>
              <w:right w:val="nil"/>
            </w:tcBorders>
            <w:shd w:val="clear" w:color="auto" w:fill="E7E6E6" w:themeFill="background2"/>
            <w:vAlign w:val="center"/>
          </w:tcPr>
          <w:p w14:paraId="63553528" w14:textId="00C790BA" w:rsidR="000E2E22" w:rsidRPr="00A578F1" w:rsidRDefault="000E2E22" w:rsidP="00A50B1F">
            <w:pPr>
              <w:rPr>
                <w:rFonts w:ascii="Arial" w:hAnsi="Arial" w:cs="Arial"/>
                <w:b/>
                <w:sz w:val="20"/>
                <w:szCs w:val="20"/>
              </w:rPr>
            </w:pPr>
            <w:r w:rsidRPr="00A578F1">
              <w:rPr>
                <w:rFonts w:ascii="Arial" w:hAnsi="Arial" w:cs="Arial"/>
                <w:b/>
                <w:sz w:val="20"/>
                <w:szCs w:val="20"/>
              </w:rPr>
              <w:t xml:space="preserve">19. La gamme à intervalles égaux </w:t>
            </w:r>
          </w:p>
        </w:tc>
        <w:tc>
          <w:tcPr>
            <w:tcW w:w="3837" w:type="dxa"/>
            <w:gridSpan w:val="2"/>
            <w:tcBorders>
              <w:left w:val="nil"/>
            </w:tcBorders>
          </w:tcPr>
          <w:p w14:paraId="56E53CA9" w14:textId="0A7BD3DB" w:rsidR="000F7865" w:rsidRPr="000F7865" w:rsidRDefault="000F7865" w:rsidP="00D7776A">
            <w:pPr>
              <w:pStyle w:val="Default"/>
              <w:rPr>
                <w:sz w:val="20"/>
                <w:szCs w:val="20"/>
              </w:rPr>
            </w:pPr>
            <w:r w:rsidRPr="000F7865">
              <w:rPr>
                <w:sz w:val="20"/>
                <w:szCs w:val="20"/>
              </w:rPr>
              <w:t xml:space="preserve">Pour des raisons mathématiques, ce cycle des quintes ne « reboucle » jamais sur la note de départ. Cependant, les cycles de 5, 7 ou 12 quintes « rebouclent » presque. Pour les gammes associées, l’identification de la dernière note avec la première impose que l’une des quintes du cycle ne corresponde pas exactement à la fréquence 3/2. </w:t>
            </w:r>
          </w:p>
        </w:tc>
        <w:tc>
          <w:tcPr>
            <w:tcW w:w="3969" w:type="dxa"/>
            <w:tcBorders>
              <w:right w:val="nil"/>
            </w:tcBorders>
          </w:tcPr>
          <w:p w14:paraId="33550646" w14:textId="10666D9F" w:rsidR="000E2E22" w:rsidRPr="000F7865" w:rsidRDefault="000F7865" w:rsidP="00D7776A">
            <w:pPr>
              <w:pStyle w:val="Default"/>
              <w:rPr>
                <w:sz w:val="20"/>
                <w:szCs w:val="20"/>
              </w:rPr>
            </w:pPr>
            <w:r w:rsidRPr="000F7865">
              <w:rPr>
                <w:sz w:val="20"/>
                <w:szCs w:val="20"/>
              </w:rPr>
              <w:t xml:space="preserve">Mettre en place un raisonnement mathématique pour prouver que le cycle des quintes est infini. </w:t>
            </w:r>
          </w:p>
        </w:tc>
        <w:tc>
          <w:tcPr>
            <w:tcW w:w="3398" w:type="dxa"/>
            <w:tcBorders>
              <w:right w:val="nil"/>
            </w:tcBorders>
            <w:shd w:val="clear" w:color="auto" w:fill="E7E6E6" w:themeFill="background2"/>
            <w:textDirection w:val="tbRl"/>
          </w:tcPr>
          <w:p w14:paraId="5CEA5A4C" w14:textId="77777777" w:rsidR="000E2E22" w:rsidRPr="00A578F1" w:rsidRDefault="000E2E22" w:rsidP="00D7776A">
            <w:pPr>
              <w:ind w:left="113" w:right="113"/>
              <w:rPr>
                <w:rFonts w:ascii="Arial" w:hAnsi="Arial" w:cs="Arial"/>
                <w:b/>
                <w:sz w:val="20"/>
                <w:szCs w:val="20"/>
              </w:rPr>
            </w:pPr>
          </w:p>
        </w:tc>
        <w:tc>
          <w:tcPr>
            <w:tcW w:w="498" w:type="dxa"/>
            <w:vMerge/>
            <w:tcBorders>
              <w:left w:val="nil"/>
              <w:right w:val="nil"/>
            </w:tcBorders>
            <w:shd w:val="clear" w:color="auto" w:fill="F4B083" w:themeFill="accent2" w:themeFillTint="99"/>
            <w:textDirection w:val="tbRl"/>
            <w:vAlign w:val="center"/>
          </w:tcPr>
          <w:p w14:paraId="5FDE6DF7" w14:textId="492649CF"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FBE4D5" w:themeFill="accent2" w:themeFillTint="33"/>
            <w:textDirection w:val="tbRl"/>
            <w:vAlign w:val="center"/>
          </w:tcPr>
          <w:p w14:paraId="732D81F5" w14:textId="77777777" w:rsidR="000E2E22" w:rsidRPr="00A578F1" w:rsidRDefault="000E2E22" w:rsidP="00ED19EC">
            <w:pPr>
              <w:ind w:left="113" w:right="113"/>
              <w:jc w:val="center"/>
              <w:rPr>
                <w:rFonts w:ascii="Arial" w:hAnsi="Arial" w:cs="Arial"/>
                <w:sz w:val="20"/>
                <w:szCs w:val="20"/>
              </w:rPr>
            </w:pPr>
          </w:p>
        </w:tc>
      </w:tr>
      <w:tr w:rsidR="000E2E22" w:rsidRPr="00A578F1" w14:paraId="0E2073FF" w14:textId="77777777" w:rsidTr="003F3253">
        <w:trPr>
          <w:cantSplit/>
          <w:trHeight w:val="350"/>
        </w:trPr>
        <w:tc>
          <w:tcPr>
            <w:tcW w:w="499" w:type="dxa"/>
            <w:vMerge/>
            <w:tcBorders>
              <w:left w:val="nil"/>
              <w:right w:val="nil"/>
            </w:tcBorders>
            <w:textDirection w:val="btLr"/>
            <w:vAlign w:val="center"/>
          </w:tcPr>
          <w:p w14:paraId="6AB0C201"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1A0F9DF2" w14:textId="731C7A05"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6333318C" w14:textId="68F632FA"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6</w:t>
            </w:r>
          </w:p>
        </w:tc>
        <w:tc>
          <w:tcPr>
            <w:tcW w:w="7806" w:type="dxa"/>
            <w:gridSpan w:val="3"/>
            <w:tcBorders>
              <w:left w:val="nil"/>
              <w:right w:val="nil"/>
            </w:tcBorders>
            <w:shd w:val="clear" w:color="auto" w:fill="E7E6E6" w:themeFill="background2"/>
          </w:tcPr>
          <w:p w14:paraId="3B534A2A" w14:textId="77777777" w:rsidR="000E2E22" w:rsidRPr="000F7865" w:rsidRDefault="000E2E22" w:rsidP="00ED19EC">
            <w:pPr>
              <w:rPr>
                <w:rFonts w:ascii="Arial" w:hAnsi="Arial" w:cs="Arial"/>
                <w:sz w:val="20"/>
                <w:szCs w:val="20"/>
              </w:rPr>
            </w:pPr>
          </w:p>
        </w:tc>
        <w:tc>
          <w:tcPr>
            <w:tcW w:w="3398" w:type="dxa"/>
            <w:tcBorders>
              <w:left w:val="nil"/>
              <w:right w:val="nil"/>
            </w:tcBorders>
            <w:shd w:val="clear" w:color="auto" w:fill="E7E6E6" w:themeFill="background2"/>
            <w:textDirection w:val="tbRl"/>
          </w:tcPr>
          <w:p w14:paraId="5706D124" w14:textId="77777777"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F4B083" w:themeFill="accent2" w:themeFillTint="99"/>
            <w:textDirection w:val="tbRl"/>
            <w:vAlign w:val="center"/>
          </w:tcPr>
          <w:p w14:paraId="0550F185" w14:textId="42D741DF" w:rsidR="000E2E22" w:rsidRPr="00A578F1" w:rsidRDefault="000E2E22" w:rsidP="00ED19EC">
            <w:pPr>
              <w:ind w:left="113" w:right="113"/>
              <w:jc w:val="center"/>
              <w:rPr>
                <w:rFonts w:ascii="Arial" w:hAnsi="Arial" w:cs="Arial"/>
                <w:b/>
                <w:sz w:val="20"/>
                <w:szCs w:val="20"/>
              </w:rPr>
            </w:pPr>
          </w:p>
        </w:tc>
        <w:tc>
          <w:tcPr>
            <w:tcW w:w="498" w:type="dxa"/>
            <w:vMerge/>
            <w:tcBorders>
              <w:left w:val="nil"/>
              <w:right w:val="nil"/>
            </w:tcBorders>
            <w:shd w:val="clear" w:color="auto" w:fill="FBE4D5" w:themeFill="accent2" w:themeFillTint="33"/>
            <w:textDirection w:val="tbRl"/>
            <w:vAlign w:val="center"/>
          </w:tcPr>
          <w:p w14:paraId="0D4E4101" w14:textId="77777777" w:rsidR="000E2E22" w:rsidRPr="00A578F1" w:rsidRDefault="000E2E22" w:rsidP="00ED19EC">
            <w:pPr>
              <w:ind w:left="113" w:right="113"/>
              <w:jc w:val="center"/>
              <w:rPr>
                <w:rFonts w:ascii="Arial" w:hAnsi="Arial" w:cs="Arial"/>
                <w:sz w:val="20"/>
                <w:szCs w:val="20"/>
              </w:rPr>
            </w:pPr>
          </w:p>
        </w:tc>
      </w:tr>
      <w:tr w:rsidR="000E2E22" w:rsidRPr="00A578F1" w14:paraId="3CD32E09" w14:textId="77777777" w:rsidTr="003F3253">
        <w:trPr>
          <w:cantSplit/>
          <w:trHeight w:val="1134"/>
        </w:trPr>
        <w:tc>
          <w:tcPr>
            <w:tcW w:w="499" w:type="dxa"/>
            <w:vMerge w:val="restart"/>
            <w:tcBorders>
              <w:left w:val="nil"/>
              <w:right w:val="nil"/>
            </w:tcBorders>
            <w:textDirection w:val="btLr"/>
            <w:vAlign w:val="center"/>
          </w:tcPr>
          <w:p w14:paraId="1FCD4F0A" w14:textId="13C129A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lastRenderedPageBreak/>
              <w:t xml:space="preserve">Chapitre 8 : </w:t>
            </w:r>
          </w:p>
        </w:tc>
        <w:tc>
          <w:tcPr>
            <w:tcW w:w="583" w:type="dxa"/>
            <w:tcBorders>
              <w:left w:val="nil"/>
              <w:right w:val="nil"/>
            </w:tcBorders>
            <w:shd w:val="clear" w:color="auto" w:fill="E7E6E6" w:themeFill="background2"/>
            <w:vAlign w:val="center"/>
          </w:tcPr>
          <w:p w14:paraId="225DFB04"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0A738DC4"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0E124C5B" w14:textId="5FC7F0E7"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 ou Activité documentaire</w:t>
            </w:r>
          </w:p>
        </w:tc>
        <w:tc>
          <w:tcPr>
            <w:tcW w:w="2022" w:type="dxa"/>
            <w:tcBorders>
              <w:left w:val="nil"/>
              <w:right w:val="nil"/>
            </w:tcBorders>
            <w:shd w:val="clear" w:color="auto" w:fill="E7E6E6" w:themeFill="background2"/>
            <w:vAlign w:val="center"/>
          </w:tcPr>
          <w:p w14:paraId="6F0802B7" w14:textId="18717774" w:rsidR="000E2E22" w:rsidRPr="00A578F1" w:rsidRDefault="000E2E22" w:rsidP="00A50B1F">
            <w:pPr>
              <w:rPr>
                <w:rFonts w:ascii="Arial" w:hAnsi="Arial" w:cs="Arial"/>
                <w:b/>
                <w:sz w:val="20"/>
                <w:szCs w:val="20"/>
              </w:rPr>
            </w:pPr>
            <w:r w:rsidRPr="00A578F1">
              <w:rPr>
                <w:rFonts w:ascii="Arial" w:hAnsi="Arial" w:cs="Arial"/>
                <w:b/>
                <w:sz w:val="20"/>
                <w:szCs w:val="20"/>
              </w:rPr>
              <w:t>20. Echantillonnage, quantification et numérisation d’un son ??</w:t>
            </w:r>
          </w:p>
        </w:tc>
        <w:tc>
          <w:tcPr>
            <w:tcW w:w="3837" w:type="dxa"/>
            <w:gridSpan w:val="2"/>
            <w:tcBorders>
              <w:left w:val="nil"/>
            </w:tcBorders>
          </w:tcPr>
          <w:p w14:paraId="0AE7CEE2" w14:textId="77777777" w:rsidR="000F7865" w:rsidRPr="000F7865" w:rsidRDefault="000F7865" w:rsidP="000F7865">
            <w:pPr>
              <w:pStyle w:val="Default"/>
              <w:rPr>
                <w:sz w:val="20"/>
                <w:szCs w:val="20"/>
              </w:rPr>
            </w:pPr>
            <w:r w:rsidRPr="000F7865">
              <w:rPr>
                <w:sz w:val="20"/>
                <w:szCs w:val="20"/>
              </w:rPr>
              <w:t xml:space="preserve">Pour numériser un son, on procède à la discrétisation du signal analogique sonore </w:t>
            </w:r>
          </w:p>
          <w:p w14:paraId="79F85BCF" w14:textId="6181390D" w:rsidR="000F7865" w:rsidRPr="000F7865" w:rsidRDefault="000F7865" w:rsidP="000F7865">
            <w:pPr>
              <w:pStyle w:val="Default"/>
              <w:rPr>
                <w:sz w:val="20"/>
                <w:szCs w:val="20"/>
              </w:rPr>
            </w:pPr>
            <w:r w:rsidRPr="000F7865">
              <w:rPr>
                <w:sz w:val="20"/>
                <w:szCs w:val="20"/>
              </w:rPr>
              <w:t>(</w:t>
            </w:r>
            <w:r w:rsidR="00D7776A" w:rsidRPr="000F7865">
              <w:rPr>
                <w:sz w:val="20"/>
                <w:szCs w:val="20"/>
              </w:rPr>
              <w:t>Échantillonnage</w:t>
            </w:r>
            <w:r w:rsidRPr="000F7865">
              <w:rPr>
                <w:sz w:val="20"/>
                <w:szCs w:val="20"/>
              </w:rPr>
              <w:t xml:space="preserve"> et quantification). </w:t>
            </w:r>
          </w:p>
          <w:p w14:paraId="47E71EBE" w14:textId="77777777" w:rsidR="000F7865" w:rsidRPr="000F7865" w:rsidRDefault="000F7865" w:rsidP="000F7865">
            <w:pPr>
              <w:pStyle w:val="Default"/>
              <w:rPr>
                <w:sz w:val="20"/>
                <w:szCs w:val="20"/>
              </w:rPr>
            </w:pPr>
            <w:r w:rsidRPr="000F7865">
              <w:rPr>
                <w:sz w:val="20"/>
                <w:szCs w:val="20"/>
              </w:rPr>
              <w:t xml:space="preserve">Plus la fréquence d’échantillonnage est élevée et la quantification est fine, plus la numérisation est fidèle, mais plus la taille du fichier audio est grande. </w:t>
            </w:r>
          </w:p>
          <w:p w14:paraId="215D2782" w14:textId="4B91D0E9" w:rsidR="000E2E22" w:rsidRPr="000F7865" w:rsidRDefault="000F7865" w:rsidP="000F7865">
            <w:pPr>
              <w:tabs>
                <w:tab w:val="left" w:pos="904"/>
              </w:tabs>
              <w:rPr>
                <w:rFonts w:ascii="Arial" w:hAnsi="Arial" w:cs="Arial"/>
                <w:sz w:val="20"/>
                <w:szCs w:val="20"/>
              </w:rPr>
            </w:pPr>
            <w:r w:rsidRPr="000F7865">
              <w:rPr>
                <w:rFonts w:ascii="Arial" w:hAnsi="Arial" w:cs="Arial"/>
                <w:sz w:val="20"/>
                <w:szCs w:val="20"/>
              </w:rPr>
              <w:t xml:space="preserve">La reproduction fidèle du signal analogique nécessite une fréquence d’échantillonnage au moins double de celle du son. </w:t>
            </w:r>
          </w:p>
        </w:tc>
        <w:tc>
          <w:tcPr>
            <w:tcW w:w="3969" w:type="dxa"/>
            <w:tcBorders>
              <w:right w:val="nil"/>
            </w:tcBorders>
          </w:tcPr>
          <w:p w14:paraId="1D165AF4" w14:textId="77777777" w:rsidR="000F7865" w:rsidRPr="000F7865" w:rsidRDefault="000F7865" w:rsidP="000F7865">
            <w:pPr>
              <w:pStyle w:val="Default"/>
              <w:rPr>
                <w:sz w:val="20"/>
                <w:szCs w:val="20"/>
              </w:rPr>
            </w:pPr>
            <w:r w:rsidRPr="000F7865">
              <w:rPr>
                <w:sz w:val="20"/>
                <w:szCs w:val="20"/>
              </w:rPr>
              <w:t xml:space="preserve">Justifier le choix des paramètres de numérisation d’un son. </w:t>
            </w:r>
          </w:p>
          <w:p w14:paraId="0DC177FA" w14:textId="2F2E95CD" w:rsidR="000E2E22" w:rsidRPr="000F7865" w:rsidRDefault="000F7865" w:rsidP="000F7865">
            <w:pPr>
              <w:rPr>
                <w:rFonts w:ascii="Arial" w:hAnsi="Arial" w:cs="Arial"/>
                <w:sz w:val="20"/>
                <w:szCs w:val="20"/>
              </w:rPr>
            </w:pPr>
            <w:r w:rsidRPr="000F7865">
              <w:rPr>
                <w:rFonts w:ascii="Arial" w:hAnsi="Arial" w:cs="Arial"/>
                <w:sz w:val="20"/>
                <w:szCs w:val="20"/>
              </w:rPr>
              <w:t xml:space="preserve">Estimer la taille d’un fichier audio. </w:t>
            </w:r>
          </w:p>
        </w:tc>
        <w:tc>
          <w:tcPr>
            <w:tcW w:w="3398" w:type="dxa"/>
            <w:tcBorders>
              <w:right w:val="nil"/>
            </w:tcBorders>
            <w:shd w:val="clear" w:color="auto" w:fill="E7E6E6" w:themeFill="background2"/>
            <w:textDirection w:val="tbRl"/>
          </w:tcPr>
          <w:p w14:paraId="43F5CC77" w14:textId="77777777" w:rsidR="000E2E22" w:rsidRPr="00A578F1" w:rsidRDefault="000E2E22" w:rsidP="00ED19EC">
            <w:pPr>
              <w:ind w:left="113" w:right="113"/>
              <w:jc w:val="center"/>
              <w:rPr>
                <w:rFonts w:ascii="Arial" w:hAnsi="Arial" w:cs="Arial"/>
                <w:b/>
                <w:sz w:val="20"/>
                <w:szCs w:val="20"/>
              </w:rPr>
            </w:pPr>
          </w:p>
        </w:tc>
        <w:tc>
          <w:tcPr>
            <w:tcW w:w="498" w:type="dxa"/>
            <w:vMerge w:val="restart"/>
            <w:tcBorders>
              <w:left w:val="nil"/>
              <w:right w:val="nil"/>
            </w:tcBorders>
            <w:shd w:val="clear" w:color="auto" w:fill="C45911" w:themeFill="accent2" w:themeFillShade="BF"/>
            <w:textDirection w:val="tbRl"/>
            <w:vAlign w:val="center"/>
          </w:tcPr>
          <w:p w14:paraId="52246BD0" w14:textId="68F617A4"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4.3- Le son, une information à coder</w:t>
            </w:r>
          </w:p>
        </w:tc>
        <w:tc>
          <w:tcPr>
            <w:tcW w:w="498" w:type="dxa"/>
            <w:vMerge/>
            <w:tcBorders>
              <w:left w:val="nil"/>
              <w:right w:val="nil"/>
            </w:tcBorders>
            <w:shd w:val="clear" w:color="auto" w:fill="FBE4D5" w:themeFill="accent2" w:themeFillTint="33"/>
            <w:textDirection w:val="tbRl"/>
            <w:vAlign w:val="center"/>
          </w:tcPr>
          <w:p w14:paraId="5A48FB07" w14:textId="77777777" w:rsidR="000E2E22" w:rsidRPr="00A578F1" w:rsidRDefault="000E2E22" w:rsidP="00ED19EC">
            <w:pPr>
              <w:ind w:left="113" w:right="113"/>
              <w:jc w:val="center"/>
              <w:rPr>
                <w:rFonts w:ascii="Arial" w:hAnsi="Arial" w:cs="Arial"/>
                <w:sz w:val="20"/>
                <w:szCs w:val="20"/>
              </w:rPr>
            </w:pPr>
          </w:p>
        </w:tc>
      </w:tr>
      <w:tr w:rsidR="000E2E22" w:rsidRPr="00A578F1" w14:paraId="3BF6E2F2" w14:textId="77777777" w:rsidTr="003F3253">
        <w:trPr>
          <w:cantSplit/>
          <w:trHeight w:val="3031"/>
        </w:trPr>
        <w:tc>
          <w:tcPr>
            <w:tcW w:w="499" w:type="dxa"/>
            <w:vMerge/>
            <w:tcBorders>
              <w:left w:val="nil"/>
              <w:right w:val="nil"/>
            </w:tcBorders>
            <w:textDirection w:val="btLr"/>
            <w:vAlign w:val="center"/>
          </w:tcPr>
          <w:p w14:paraId="0C99D7BB"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04F5C6DA" w14:textId="77777777"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p w14:paraId="63DA4939" w14:textId="77777777" w:rsidR="000E2E22" w:rsidRPr="00A578F1" w:rsidRDefault="000E2E22" w:rsidP="00ED19EC">
            <w:pPr>
              <w:jc w:val="center"/>
              <w:rPr>
                <w:rFonts w:ascii="Arial" w:hAnsi="Arial" w:cs="Arial"/>
                <w:b/>
                <w:sz w:val="20"/>
                <w:szCs w:val="20"/>
              </w:rPr>
            </w:pPr>
          </w:p>
        </w:tc>
        <w:tc>
          <w:tcPr>
            <w:tcW w:w="578" w:type="dxa"/>
            <w:tcBorders>
              <w:left w:val="nil"/>
              <w:right w:val="nil"/>
            </w:tcBorders>
            <w:textDirection w:val="btLr"/>
            <w:vAlign w:val="center"/>
          </w:tcPr>
          <w:p w14:paraId="4837FA1B" w14:textId="2D82F3A8" w:rsidR="000E2E22" w:rsidRPr="00A578F1" w:rsidRDefault="000E2E22" w:rsidP="00ED19EC">
            <w:pPr>
              <w:ind w:left="113" w:right="113"/>
              <w:jc w:val="center"/>
              <w:rPr>
                <w:rFonts w:ascii="Arial" w:hAnsi="Arial" w:cs="Arial"/>
                <w:b/>
                <w:sz w:val="20"/>
                <w:szCs w:val="20"/>
              </w:rPr>
            </w:pPr>
            <w:r w:rsidRPr="00A578F1">
              <w:rPr>
                <w:rFonts w:ascii="Arial" w:hAnsi="Arial" w:cs="Arial"/>
                <w:b/>
                <w:sz w:val="20"/>
                <w:szCs w:val="20"/>
              </w:rPr>
              <w:t>TP</w:t>
            </w:r>
          </w:p>
        </w:tc>
        <w:tc>
          <w:tcPr>
            <w:tcW w:w="2022" w:type="dxa"/>
            <w:tcBorders>
              <w:left w:val="nil"/>
              <w:right w:val="nil"/>
            </w:tcBorders>
            <w:shd w:val="clear" w:color="auto" w:fill="E7E6E6" w:themeFill="background2"/>
            <w:vAlign w:val="center"/>
          </w:tcPr>
          <w:p w14:paraId="2682B4F4" w14:textId="5D94E699" w:rsidR="000E2E22" w:rsidRPr="00A578F1" w:rsidRDefault="000E2E22" w:rsidP="00A50B1F">
            <w:pPr>
              <w:rPr>
                <w:rFonts w:ascii="Arial" w:hAnsi="Arial" w:cs="Arial"/>
                <w:b/>
                <w:sz w:val="20"/>
                <w:szCs w:val="20"/>
              </w:rPr>
            </w:pPr>
            <w:r w:rsidRPr="00A578F1">
              <w:rPr>
                <w:rFonts w:ascii="Arial" w:hAnsi="Arial" w:cs="Arial"/>
                <w:b/>
                <w:sz w:val="20"/>
                <w:szCs w:val="20"/>
              </w:rPr>
              <w:t>21. Compression et taille de fichier (Compresser, Fourier, comparer)</w:t>
            </w:r>
          </w:p>
        </w:tc>
        <w:tc>
          <w:tcPr>
            <w:tcW w:w="3837" w:type="dxa"/>
            <w:gridSpan w:val="2"/>
            <w:tcBorders>
              <w:left w:val="nil"/>
            </w:tcBorders>
          </w:tcPr>
          <w:p w14:paraId="2DEF065E" w14:textId="77777777" w:rsidR="000F7865" w:rsidRPr="000F7865" w:rsidRDefault="000F7865" w:rsidP="000F7865">
            <w:pPr>
              <w:pStyle w:val="Default"/>
              <w:rPr>
                <w:sz w:val="20"/>
                <w:szCs w:val="20"/>
              </w:rPr>
            </w:pPr>
            <w:r w:rsidRPr="000F7865">
              <w:rPr>
                <w:sz w:val="20"/>
                <w:szCs w:val="20"/>
              </w:rPr>
              <w:t xml:space="preserve">La compression consiste à diminuer la taille d’un fichier afin de faciliter son stockage et sa transmission. </w:t>
            </w:r>
          </w:p>
          <w:p w14:paraId="7F64B1A1" w14:textId="10CAC94C" w:rsidR="000F7865" w:rsidRPr="000F7865" w:rsidRDefault="000F7865" w:rsidP="000F7865">
            <w:pPr>
              <w:rPr>
                <w:rFonts w:ascii="Arial" w:hAnsi="Arial" w:cs="Arial"/>
                <w:sz w:val="20"/>
                <w:szCs w:val="20"/>
              </w:rPr>
            </w:pPr>
            <w:r w:rsidRPr="000F7865">
              <w:rPr>
                <w:rFonts w:ascii="Arial" w:hAnsi="Arial" w:cs="Arial"/>
                <w:sz w:val="20"/>
                <w:szCs w:val="20"/>
              </w:rPr>
              <w:t xml:space="preserve">Les techniques de compression spécifiques au son, dites « avec perte d’information », éliminent les informations sonores auxquelles l’oreille est peu sensible. </w:t>
            </w:r>
          </w:p>
        </w:tc>
        <w:tc>
          <w:tcPr>
            <w:tcW w:w="3969" w:type="dxa"/>
            <w:tcBorders>
              <w:right w:val="nil"/>
            </w:tcBorders>
          </w:tcPr>
          <w:p w14:paraId="320667CC" w14:textId="77777777" w:rsidR="000F7865" w:rsidRPr="000F7865" w:rsidRDefault="000F7865" w:rsidP="000F7865">
            <w:pPr>
              <w:pStyle w:val="Default"/>
              <w:rPr>
                <w:sz w:val="20"/>
                <w:szCs w:val="20"/>
              </w:rPr>
            </w:pPr>
            <w:r w:rsidRPr="000F7865">
              <w:rPr>
                <w:sz w:val="20"/>
                <w:szCs w:val="20"/>
              </w:rPr>
              <w:t xml:space="preserve">Calculer un taux de compression. </w:t>
            </w:r>
          </w:p>
          <w:p w14:paraId="7E948069" w14:textId="067098E5" w:rsidR="000F7865" w:rsidRPr="000F7865" w:rsidRDefault="000F7865" w:rsidP="000F7865">
            <w:pPr>
              <w:tabs>
                <w:tab w:val="left" w:pos="2495"/>
              </w:tabs>
              <w:rPr>
                <w:rFonts w:ascii="Arial" w:hAnsi="Arial" w:cs="Arial"/>
                <w:sz w:val="20"/>
                <w:szCs w:val="20"/>
              </w:rPr>
            </w:pPr>
            <w:r w:rsidRPr="000F7865">
              <w:rPr>
                <w:rFonts w:ascii="Arial" w:hAnsi="Arial" w:cs="Arial"/>
                <w:sz w:val="20"/>
                <w:szCs w:val="20"/>
              </w:rPr>
              <w:t xml:space="preserve">Comparer des caractéristiques et des qualités de fichiers audio compressés. </w:t>
            </w:r>
          </w:p>
          <w:p w14:paraId="54FF6825" w14:textId="04C07267" w:rsidR="000F7865" w:rsidRPr="000F7865" w:rsidRDefault="000F7865" w:rsidP="000F7865">
            <w:pPr>
              <w:tabs>
                <w:tab w:val="left" w:pos="2495"/>
              </w:tabs>
              <w:rPr>
                <w:rFonts w:ascii="Arial" w:hAnsi="Arial" w:cs="Arial"/>
                <w:sz w:val="20"/>
                <w:szCs w:val="20"/>
              </w:rPr>
            </w:pPr>
            <w:r w:rsidRPr="000F7865">
              <w:rPr>
                <w:rFonts w:ascii="Arial" w:hAnsi="Arial" w:cs="Arial"/>
                <w:sz w:val="20"/>
                <w:szCs w:val="20"/>
              </w:rPr>
              <w:tab/>
            </w:r>
          </w:p>
        </w:tc>
        <w:tc>
          <w:tcPr>
            <w:tcW w:w="3398" w:type="dxa"/>
            <w:tcBorders>
              <w:right w:val="nil"/>
            </w:tcBorders>
            <w:shd w:val="clear" w:color="auto" w:fill="E7E6E6" w:themeFill="background2"/>
            <w:textDirection w:val="tbRl"/>
          </w:tcPr>
          <w:p w14:paraId="306D68FB" w14:textId="77777777"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C45911" w:themeFill="accent2" w:themeFillShade="BF"/>
            <w:textDirection w:val="tbRl"/>
            <w:vAlign w:val="center"/>
          </w:tcPr>
          <w:p w14:paraId="654B3A9E" w14:textId="14D7A8A4"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BE4D5" w:themeFill="accent2" w:themeFillTint="33"/>
            <w:textDirection w:val="tbRl"/>
            <w:vAlign w:val="center"/>
          </w:tcPr>
          <w:p w14:paraId="12149DD0" w14:textId="77777777" w:rsidR="000E2E22" w:rsidRPr="00A578F1" w:rsidRDefault="000E2E22" w:rsidP="00ED19EC">
            <w:pPr>
              <w:ind w:left="113" w:right="113"/>
              <w:jc w:val="center"/>
              <w:rPr>
                <w:rFonts w:ascii="Arial" w:hAnsi="Arial" w:cs="Arial"/>
                <w:sz w:val="20"/>
                <w:szCs w:val="20"/>
              </w:rPr>
            </w:pPr>
          </w:p>
        </w:tc>
      </w:tr>
      <w:tr w:rsidR="000E2E22" w:rsidRPr="00A578F1" w14:paraId="0056F430" w14:textId="77777777" w:rsidTr="000F7865">
        <w:trPr>
          <w:cantSplit/>
          <w:trHeight w:val="416"/>
        </w:trPr>
        <w:tc>
          <w:tcPr>
            <w:tcW w:w="499" w:type="dxa"/>
            <w:vMerge/>
            <w:tcBorders>
              <w:left w:val="nil"/>
              <w:right w:val="nil"/>
            </w:tcBorders>
            <w:textDirection w:val="btLr"/>
            <w:vAlign w:val="center"/>
          </w:tcPr>
          <w:p w14:paraId="7A8E0B4E" w14:textId="77777777" w:rsidR="000E2E22" w:rsidRPr="00A578F1" w:rsidRDefault="000E2E22" w:rsidP="00ED19EC">
            <w:pPr>
              <w:ind w:left="113" w:right="113"/>
              <w:jc w:val="center"/>
              <w:rPr>
                <w:rFonts w:ascii="Arial" w:hAnsi="Arial" w:cs="Arial"/>
                <w:b/>
                <w:sz w:val="20"/>
                <w:szCs w:val="20"/>
              </w:rPr>
            </w:pPr>
          </w:p>
        </w:tc>
        <w:tc>
          <w:tcPr>
            <w:tcW w:w="583" w:type="dxa"/>
            <w:tcBorders>
              <w:left w:val="nil"/>
              <w:right w:val="nil"/>
            </w:tcBorders>
            <w:shd w:val="clear" w:color="auto" w:fill="E7E6E6" w:themeFill="background2"/>
            <w:vAlign w:val="center"/>
          </w:tcPr>
          <w:p w14:paraId="3654A26D" w14:textId="7E87143D" w:rsidR="000E2E22" w:rsidRPr="00A578F1" w:rsidRDefault="000E2E22" w:rsidP="00ED19EC">
            <w:pPr>
              <w:jc w:val="center"/>
              <w:rPr>
                <w:rFonts w:ascii="Arial" w:hAnsi="Arial" w:cs="Arial"/>
                <w:b/>
                <w:sz w:val="20"/>
                <w:szCs w:val="20"/>
              </w:rPr>
            </w:pPr>
            <w:r w:rsidRPr="00A578F1">
              <w:rPr>
                <w:rFonts w:ascii="Arial" w:hAnsi="Arial" w:cs="Arial"/>
                <w:b/>
                <w:sz w:val="20"/>
                <w:szCs w:val="20"/>
              </w:rPr>
              <w:t>(1h)</w:t>
            </w:r>
          </w:p>
        </w:tc>
        <w:tc>
          <w:tcPr>
            <w:tcW w:w="2600" w:type="dxa"/>
            <w:gridSpan w:val="2"/>
            <w:tcBorders>
              <w:left w:val="nil"/>
              <w:right w:val="nil"/>
            </w:tcBorders>
            <w:shd w:val="clear" w:color="auto" w:fill="E7E6E6" w:themeFill="background2"/>
            <w:vAlign w:val="center"/>
          </w:tcPr>
          <w:p w14:paraId="4BBEDF5C" w14:textId="7030C3CB" w:rsidR="000E2E22" w:rsidRPr="00A578F1" w:rsidRDefault="000E2E22" w:rsidP="00ED19EC">
            <w:pPr>
              <w:jc w:val="center"/>
              <w:rPr>
                <w:rFonts w:ascii="Arial" w:hAnsi="Arial" w:cs="Arial"/>
                <w:b/>
                <w:sz w:val="20"/>
                <w:szCs w:val="20"/>
              </w:rPr>
            </w:pPr>
            <w:r w:rsidRPr="00A578F1">
              <w:rPr>
                <w:rFonts w:ascii="Arial" w:hAnsi="Arial" w:cs="Arial"/>
                <w:b/>
                <w:sz w:val="20"/>
                <w:szCs w:val="20"/>
              </w:rPr>
              <w:t>Evaluation 7</w:t>
            </w:r>
          </w:p>
        </w:tc>
        <w:tc>
          <w:tcPr>
            <w:tcW w:w="7806" w:type="dxa"/>
            <w:gridSpan w:val="3"/>
            <w:tcBorders>
              <w:left w:val="nil"/>
              <w:right w:val="nil"/>
            </w:tcBorders>
            <w:shd w:val="clear" w:color="auto" w:fill="E7E6E6" w:themeFill="background2"/>
          </w:tcPr>
          <w:p w14:paraId="2C64EACA" w14:textId="77777777" w:rsidR="000E2E22" w:rsidRPr="00A578F1" w:rsidRDefault="000E2E22" w:rsidP="00ED19EC">
            <w:pPr>
              <w:rPr>
                <w:rFonts w:ascii="Arial" w:hAnsi="Arial" w:cs="Arial"/>
                <w:sz w:val="20"/>
                <w:szCs w:val="20"/>
              </w:rPr>
            </w:pPr>
          </w:p>
        </w:tc>
        <w:tc>
          <w:tcPr>
            <w:tcW w:w="3398" w:type="dxa"/>
            <w:tcBorders>
              <w:left w:val="nil"/>
              <w:right w:val="nil"/>
            </w:tcBorders>
            <w:shd w:val="clear" w:color="auto" w:fill="E7E6E6" w:themeFill="background2"/>
            <w:textDirection w:val="tbRl"/>
          </w:tcPr>
          <w:p w14:paraId="528670AB" w14:textId="77777777"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C45911" w:themeFill="accent2" w:themeFillShade="BF"/>
            <w:textDirection w:val="tbRl"/>
            <w:vAlign w:val="center"/>
          </w:tcPr>
          <w:p w14:paraId="36901323" w14:textId="73C11D1A" w:rsidR="000E2E22" w:rsidRPr="00A578F1" w:rsidRDefault="000E2E22" w:rsidP="00ED19EC">
            <w:pPr>
              <w:ind w:left="113" w:right="113"/>
              <w:jc w:val="center"/>
              <w:rPr>
                <w:rFonts w:ascii="Arial" w:hAnsi="Arial" w:cs="Arial"/>
                <w:sz w:val="20"/>
                <w:szCs w:val="20"/>
              </w:rPr>
            </w:pPr>
          </w:p>
        </w:tc>
        <w:tc>
          <w:tcPr>
            <w:tcW w:w="498" w:type="dxa"/>
            <w:vMerge/>
            <w:tcBorders>
              <w:left w:val="nil"/>
              <w:right w:val="nil"/>
            </w:tcBorders>
            <w:shd w:val="clear" w:color="auto" w:fill="FBE4D5" w:themeFill="accent2" w:themeFillTint="33"/>
            <w:textDirection w:val="tbRl"/>
            <w:vAlign w:val="center"/>
          </w:tcPr>
          <w:p w14:paraId="503AF1B1" w14:textId="77777777" w:rsidR="000E2E22" w:rsidRPr="00A578F1" w:rsidRDefault="000E2E22" w:rsidP="00ED19EC">
            <w:pPr>
              <w:ind w:left="113" w:right="113"/>
              <w:jc w:val="center"/>
              <w:rPr>
                <w:rFonts w:ascii="Arial" w:hAnsi="Arial" w:cs="Arial"/>
                <w:sz w:val="20"/>
                <w:szCs w:val="20"/>
              </w:rPr>
            </w:pPr>
          </w:p>
        </w:tc>
      </w:tr>
      <w:tr w:rsidR="000F7865" w:rsidRPr="00A578F1" w14:paraId="5BD89C4C" w14:textId="77777777" w:rsidTr="000F7865">
        <w:trPr>
          <w:cantSplit/>
          <w:trHeight w:val="1134"/>
        </w:trPr>
        <w:tc>
          <w:tcPr>
            <w:tcW w:w="499" w:type="dxa"/>
            <w:tcBorders>
              <w:top w:val="thinThickThinSmallGap" w:sz="18" w:space="0" w:color="auto"/>
              <w:left w:val="nil"/>
              <w:bottom w:val="thinThickThinSmallGap" w:sz="18" w:space="0" w:color="auto"/>
              <w:right w:val="nil"/>
            </w:tcBorders>
            <w:textDirection w:val="btLr"/>
            <w:vAlign w:val="center"/>
          </w:tcPr>
          <w:p w14:paraId="57B53AB3" w14:textId="77777777" w:rsidR="000F7865" w:rsidRPr="00A578F1" w:rsidRDefault="000F7865" w:rsidP="00ED19EC">
            <w:pPr>
              <w:ind w:left="113" w:right="113"/>
              <w:jc w:val="center"/>
              <w:rPr>
                <w:rFonts w:ascii="Arial" w:hAnsi="Arial" w:cs="Arial"/>
                <w:b/>
                <w:sz w:val="20"/>
                <w:szCs w:val="20"/>
              </w:rPr>
            </w:pPr>
          </w:p>
        </w:tc>
        <w:tc>
          <w:tcPr>
            <w:tcW w:w="583" w:type="dxa"/>
            <w:tcBorders>
              <w:top w:val="thinThickThinSmallGap" w:sz="18" w:space="0" w:color="auto"/>
              <w:left w:val="nil"/>
              <w:bottom w:val="thinThickThinSmallGap" w:sz="18" w:space="0" w:color="auto"/>
              <w:right w:val="nil"/>
            </w:tcBorders>
            <w:shd w:val="clear" w:color="auto" w:fill="E7E6E6" w:themeFill="background2"/>
            <w:vAlign w:val="center"/>
          </w:tcPr>
          <w:p w14:paraId="5E99C6CF" w14:textId="5E3E78D2" w:rsidR="000F7865" w:rsidRPr="00A578F1" w:rsidRDefault="000F7865" w:rsidP="00ED19EC">
            <w:pPr>
              <w:jc w:val="center"/>
              <w:rPr>
                <w:rFonts w:ascii="Arial" w:hAnsi="Arial" w:cs="Arial"/>
                <w:b/>
                <w:sz w:val="20"/>
                <w:szCs w:val="20"/>
              </w:rPr>
            </w:pPr>
            <w:r>
              <w:rPr>
                <w:rFonts w:ascii="Arial" w:hAnsi="Arial" w:cs="Arial"/>
                <w:b/>
                <w:sz w:val="20"/>
                <w:szCs w:val="20"/>
              </w:rPr>
              <w:t>(6h)</w:t>
            </w:r>
          </w:p>
        </w:tc>
        <w:tc>
          <w:tcPr>
            <w:tcW w:w="2600" w:type="dxa"/>
            <w:gridSpan w:val="2"/>
            <w:tcBorders>
              <w:top w:val="thinThickThinSmallGap" w:sz="18" w:space="0" w:color="auto"/>
              <w:left w:val="nil"/>
              <w:bottom w:val="thinThickThinSmallGap" w:sz="18" w:space="0" w:color="auto"/>
              <w:right w:val="nil"/>
            </w:tcBorders>
            <w:shd w:val="clear" w:color="auto" w:fill="E7E6E6" w:themeFill="background2"/>
            <w:vAlign w:val="center"/>
          </w:tcPr>
          <w:p w14:paraId="4C6CCE9C" w14:textId="3009FF5C" w:rsidR="000F7865" w:rsidRPr="00A578F1" w:rsidRDefault="000F7865" w:rsidP="00ED19EC">
            <w:pPr>
              <w:jc w:val="center"/>
              <w:rPr>
                <w:rFonts w:ascii="Arial" w:hAnsi="Arial" w:cs="Arial"/>
                <w:b/>
                <w:sz w:val="20"/>
                <w:szCs w:val="20"/>
              </w:rPr>
            </w:pPr>
            <w:r>
              <w:rPr>
                <w:rFonts w:ascii="Arial" w:hAnsi="Arial" w:cs="Arial"/>
                <w:b/>
                <w:sz w:val="20"/>
                <w:szCs w:val="20"/>
              </w:rPr>
              <w:t>Projet expérimental et numérique</w:t>
            </w:r>
          </w:p>
        </w:tc>
        <w:tc>
          <w:tcPr>
            <w:tcW w:w="12200" w:type="dxa"/>
            <w:gridSpan w:val="6"/>
            <w:tcBorders>
              <w:top w:val="thinThickThinSmallGap" w:sz="18" w:space="0" w:color="auto"/>
              <w:left w:val="nil"/>
              <w:bottom w:val="thinThickThinSmallGap" w:sz="18" w:space="0" w:color="auto"/>
              <w:right w:val="nil"/>
            </w:tcBorders>
            <w:shd w:val="clear" w:color="auto" w:fill="E7E6E6" w:themeFill="background2"/>
          </w:tcPr>
          <w:p w14:paraId="3805B632" w14:textId="4E7A5C15" w:rsidR="000F7865" w:rsidRDefault="000F7865" w:rsidP="000F7865">
            <w:pPr>
              <w:autoSpaceDE w:val="0"/>
              <w:autoSpaceDN w:val="0"/>
              <w:adjustRightInd w:val="0"/>
              <w:jc w:val="both"/>
              <w:rPr>
                <w:rFonts w:ascii="Arial" w:hAnsi="Arial" w:cs="Arial"/>
                <w:color w:val="000000"/>
              </w:rPr>
            </w:pPr>
            <w:r w:rsidRPr="000F7865">
              <w:rPr>
                <w:rFonts w:ascii="Arial" w:hAnsi="Arial" w:cs="Arial"/>
                <w:color w:val="000000"/>
              </w:rPr>
              <w:t xml:space="preserve">Le projet s’articule autour de la mesure et des données qu’elle produit, qui sont au </w:t>
            </w:r>
            <w:r w:rsidRPr="000F7865">
              <w:rPr>
                <w:rFonts w:ascii="Arial" w:hAnsi="Arial" w:cs="Arial"/>
                <w:color w:val="000000"/>
              </w:rPr>
              <w:t>cœur</w:t>
            </w:r>
            <w:r w:rsidRPr="000F7865">
              <w:rPr>
                <w:rFonts w:ascii="Arial" w:hAnsi="Arial" w:cs="Arial"/>
                <w:color w:val="000000"/>
              </w:rPr>
              <w:t xml:space="preserve"> des sciences expérimentales. L'objectif est de confronter les élèves à la pratique d’une démarche scientifique expérimentale, de l’utilisation de matériels (capteurs et logiciels) à l’analyse critique des résultats. </w:t>
            </w:r>
          </w:p>
          <w:p w14:paraId="472B604E" w14:textId="77777777" w:rsidR="000F7865" w:rsidRPr="000F7865" w:rsidRDefault="000F7865" w:rsidP="000F7865">
            <w:pPr>
              <w:autoSpaceDE w:val="0"/>
              <w:autoSpaceDN w:val="0"/>
              <w:adjustRightInd w:val="0"/>
              <w:rPr>
                <w:rFonts w:ascii="Arial" w:hAnsi="Arial" w:cs="Arial"/>
                <w:color w:val="000000"/>
              </w:rPr>
            </w:pPr>
          </w:p>
          <w:p w14:paraId="4E2B655E" w14:textId="77777777" w:rsidR="000F7865" w:rsidRPr="000F7865" w:rsidRDefault="000F7865" w:rsidP="000F7865">
            <w:pPr>
              <w:autoSpaceDE w:val="0"/>
              <w:autoSpaceDN w:val="0"/>
              <w:adjustRightInd w:val="0"/>
              <w:rPr>
                <w:rFonts w:ascii="Arial" w:hAnsi="Arial" w:cs="Arial"/>
                <w:color w:val="000000"/>
              </w:rPr>
            </w:pPr>
            <w:r w:rsidRPr="000F7865">
              <w:rPr>
                <w:rFonts w:ascii="Arial" w:hAnsi="Arial" w:cs="Arial"/>
                <w:color w:val="000000"/>
              </w:rPr>
              <w:t xml:space="preserve">Le projet expérimental et numérique comporte trois dimensions : </w:t>
            </w:r>
          </w:p>
          <w:p w14:paraId="49C06230" w14:textId="77777777" w:rsidR="000F7865" w:rsidRDefault="000F7865" w:rsidP="000F7865">
            <w:pPr>
              <w:pStyle w:val="Paragraphedeliste"/>
              <w:numPr>
                <w:ilvl w:val="0"/>
                <w:numId w:val="12"/>
              </w:numPr>
              <w:autoSpaceDE w:val="0"/>
              <w:autoSpaceDN w:val="0"/>
              <w:adjustRightInd w:val="0"/>
              <w:spacing w:after="39"/>
              <w:rPr>
                <w:rFonts w:ascii="Arial" w:hAnsi="Arial" w:cs="Arial"/>
                <w:color w:val="000000"/>
              </w:rPr>
            </w:pPr>
            <w:r w:rsidRPr="000F7865">
              <w:rPr>
                <w:rFonts w:ascii="Arial" w:hAnsi="Arial" w:cs="Arial"/>
                <w:color w:val="000000"/>
              </w:rPr>
              <w:t>Utilisation</w:t>
            </w:r>
            <w:r w:rsidRPr="000F7865">
              <w:rPr>
                <w:rFonts w:ascii="Arial" w:hAnsi="Arial" w:cs="Arial"/>
                <w:color w:val="000000"/>
              </w:rPr>
              <w:t xml:space="preserve"> d’un capteur éventuellement réalisé en classe ; </w:t>
            </w:r>
          </w:p>
          <w:p w14:paraId="3449B046" w14:textId="77777777" w:rsidR="000F7865" w:rsidRPr="000F7865" w:rsidRDefault="000F7865" w:rsidP="000F7865">
            <w:pPr>
              <w:pStyle w:val="Paragraphedeliste"/>
              <w:numPr>
                <w:ilvl w:val="0"/>
                <w:numId w:val="12"/>
              </w:numPr>
              <w:autoSpaceDE w:val="0"/>
              <w:autoSpaceDN w:val="0"/>
              <w:adjustRightInd w:val="0"/>
              <w:spacing w:after="39"/>
              <w:rPr>
                <w:rFonts w:ascii="Arial" w:hAnsi="Arial" w:cs="Arial"/>
                <w:color w:val="000000"/>
              </w:rPr>
            </w:pPr>
            <w:r w:rsidRPr="000F7865">
              <w:rPr>
                <w:rFonts w:ascii="Arial" w:hAnsi="Arial" w:cs="Arial"/>
                <w:color w:val="000000"/>
                <w:sz w:val="23"/>
                <w:szCs w:val="23"/>
              </w:rPr>
              <w:t>A</w:t>
            </w:r>
            <w:r w:rsidRPr="000F7865">
              <w:rPr>
                <w:rFonts w:ascii="Arial" w:hAnsi="Arial" w:cs="Arial"/>
                <w:color w:val="000000"/>
                <w:sz w:val="23"/>
                <w:szCs w:val="23"/>
              </w:rPr>
              <w:t xml:space="preserve">cquisition numérique de données ; </w:t>
            </w:r>
          </w:p>
          <w:p w14:paraId="43DCC4AE" w14:textId="09FC4B9E" w:rsidR="000F7865" w:rsidRPr="000F7865" w:rsidRDefault="000F7865" w:rsidP="000F7865">
            <w:pPr>
              <w:pStyle w:val="Paragraphedeliste"/>
              <w:numPr>
                <w:ilvl w:val="0"/>
                <w:numId w:val="12"/>
              </w:numPr>
              <w:autoSpaceDE w:val="0"/>
              <w:autoSpaceDN w:val="0"/>
              <w:adjustRightInd w:val="0"/>
              <w:spacing w:after="39"/>
              <w:rPr>
                <w:rFonts w:ascii="Arial" w:hAnsi="Arial" w:cs="Arial"/>
                <w:color w:val="000000"/>
              </w:rPr>
            </w:pPr>
            <w:r>
              <w:rPr>
                <w:rFonts w:ascii="Arial" w:hAnsi="Arial" w:cs="Arial"/>
                <w:color w:val="000000"/>
                <w:sz w:val="23"/>
                <w:szCs w:val="23"/>
              </w:rPr>
              <w:t>T</w:t>
            </w:r>
            <w:r w:rsidRPr="000F7865">
              <w:rPr>
                <w:rFonts w:ascii="Arial" w:hAnsi="Arial" w:cs="Arial"/>
                <w:color w:val="000000"/>
                <w:sz w:val="23"/>
                <w:szCs w:val="23"/>
              </w:rPr>
              <w:t xml:space="preserve">raitement mathématique, représentation et interprétation de ces données. </w:t>
            </w:r>
          </w:p>
          <w:p w14:paraId="07722879" w14:textId="77777777" w:rsidR="000F7865" w:rsidRPr="000F7865" w:rsidRDefault="000F7865" w:rsidP="000F7865">
            <w:pPr>
              <w:autoSpaceDE w:val="0"/>
              <w:autoSpaceDN w:val="0"/>
              <w:adjustRightInd w:val="0"/>
              <w:rPr>
                <w:rFonts w:ascii="Arial" w:hAnsi="Arial" w:cs="Arial"/>
                <w:color w:val="000000"/>
                <w:sz w:val="23"/>
                <w:szCs w:val="23"/>
              </w:rPr>
            </w:pPr>
          </w:p>
          <w:p w14:paraId="41875497" w14:textId="2EEDAC3D" w:rsidR="000F7865" w:rsidRDefault="000F7865" w:rsidP="000F7865">
            <w:pPr>
              <w:autoSpaceDE w:val="0"/>
              <w:autoSpaceDN w:val="0"/>
              <w:adjustRightInd w:val="0"/>
              <w:rPr>
                <w:rFonts w:ascii="Arial" w:hAnsi="Arial" w:cs="Arial"/>
                <w:color w:val="000000"/>
              </w:rPr>
            </w:pPr>
            <w:r w:rsidRPr="000F7865">
              <w:rPr>
                <w:rFonts w:ascii="Arial" w:hAnsi="Arial" w:cs="Arial"/>
                <w:color w:val="000000"/>
              </w:rPr>
              <w:t xml:space="preserve">Selon les projets, l’une ou l’autre de ces dimensions peut être plus ou moins développée. </w:t>
            </w:r>
          </w:p>
          <w:p w14:paraId="6EF570B5" w14:textId="77777777" w:rsidR="000F7865" w:rsidRPr="000F7865" w:rsidRDefault="000F7865" w:rsidP="000F7865">
            <w:pPr>
              <w:autoSpaceDE w:val="0"/>
              <w:autoSpaceDN w:val="0"/>
              <w:adjustRightInd w:val="0"/>
              <w:rPr>
                <w:rFonts w:ascii="Arial" w:hAnsi="Arial" w:cs="Arial"/>
                <w:color w:val="000000"/>
              </w:rPr>
            </w:pPr>
          </w:p>
          <w:p w14:paraId="7FC50C41" w14:textId="77777777" w:rsidR="000F7865" w:rsidRPr="000F7865" w:rsidRDefault="000F7865" w:rsidP="000F7865">
            <w:pPr>
              <w:autoSpaceDE w:val="0"/>
              <w:autoSpaceDN w:val="0"/>
              <w:adjustRightInd w:val="0"/>
              <w:jc w:val="both"/>
              <w:rPr>
                <w:rFonts w:ascii="Arial" w:hAnsi="Arial" w:cs="Arial"/>
                <w:color w:val="000000"/>
              </w:rPr>
            </w:pPr>
            <w:r w:rsidRPr="000F7865">
              <w:rPr>
                <w:rFonts w:ascii="Arial" w:hAnsi="Arial" w:cs="Arial"/>
                <w:color w:val="000000"/>
              </w:rPr>
              <w:t xml:space="preserve">L’objet d’étude peut être choisi librement, en lien avec le programme ou non. Il s’inscrit éventuellement dans le cadre d’un projet de classe ou d’établissement. Ce travail se déroule sur une douzaine d’heures, contiguës ou réparties au long de l’année. Il s’organise dans des conditions matérielles qui permettent un travail pratique effectif en petits groupes d’élèves. </w:t>
            </w:r>
          </w:p>
          <w:p w14:paraId="6D18649C" w14:textId="55AED9A6" w:rsidR="000F7865" w:rsidRPr="00A578F1" w:rsidRDefault="000F7865" w:rsidP="000F7865">
            <w:pPr>
              <w:jc w:val="both"/>
              <w:rPr>
                <w:rFonts w:ascii="Arial" w:hAnsi="Arial" w:cs="Arial"/>
                <w:sz w:val="20"/>
                <w:szCs w:val="20"/>
              </w:rPr>
            </w:pPr>
            <w:r w:rsidRPr="000F7865">
              <w:rPr>
                <w:rFonts w:ascii="Arial" w:hAnsi="Arial" w:cs="Arial"/>
                <w:color w:val="000000"/>
              </w:rPr>
              <w:t>La dimension numérique repose sur l’utilisation de matériels (capteur éventuellement associé à un microcontrôleur) et de logiciels (tableur, environnement de programmation).</w:t>
            </w:r>
          </w:p>
        </w:tc>
      </w:tr>
    </w:tbl>
    <w:p w14:paraId="230C0F32" w14:textId="77777777" w:rsidR="000E751E" w:rsidRPr="00A578F1" w:rsidRDefault="000E751E">
      <w:pPr>
        <w:rPr>
          <w:rFonts w:ascii="Arial" w:hAnsi="Arial" w:cs="Arial"/>
          <w:sz w:val="20"/>
          <w:szCs w:val="20"/>
        </w:rPr>
      </w:pPr>
    </w:p>
    <w:p w14:paraId="20AFB786" w14:textId="77777777" w:rsidR="000E751E" w:rsidRPr="00A578F1" w:rsidRDefault="000E751E">
      <w:pPr>
        <w:rPr>
          <w:rFonts w:ascii="Arial" w:hAnsi="Arial" w:cs="Arial"/>
          <w:sz w:val="20"/>
          <w:szCs w:val="20"/>
        </w:rPr>
      </w:pPr>
    </w:p>
    <w:sectPr w:rsidR="000E751E" w:rsidRPr="00A578F1" w:rsidSect="003F32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1CF"/>
    <w:multiLevelType w:val="hybridMultilevel"/>
    <w:tmpl w:val="0054F416"/>
    <w:lvl w:ilvl="0" w:tplc="FE8E18BA">
      <w:numFmt w:val="bullet"/>
      <w:lvlText w:val="-"/>
      <w:lvlJc w:val="left"/>
      <w:pPr>
        <w:ind w:left="473" w:hanging="360"/>
      </w:pPr>
      <w:rPr>
        <w:rFonts w:ascii="Arial" w:eastAsiaTheme="minorHAnsi"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15:restartNumberingAfterBreak="0">
    <w:nsid w:val="077A16C3"/>
    <w:multiLevelType w:val="hybridMultilevel"/>
    <w:tmpl w:val="FF9EDDDA"/>
    <w:lvl w:ilvl="0" w:tplc="C6AC4CA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B6685"/>
    <w:multiLevelType w:val="hybridMultilevel"/>
    <w:tmpl w:val="ABEE494E"/>
    <w:lvl w:ilvl="0" w:tplc="66B2510C">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C542940"/>
    <w:multiLevelType w:val="multilevel"/>
    <w:tmpl w:val="659EBA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D59F2"/>
    <w:multiLevelType w:val="multilevel"/>
    <w:tmpl w:val="85C8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630F0A"/>
    <w:multiLevelType w:val="hybridMultilevel"/>
    <w:tmpl w:val="E8220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11012A"/>
    <w:multiLevelType w:val="hybridMultilevel"/>
    <w:tmpl w:val="CDD28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E5320"/>
    <w:multiLevelType w:val="hybridMultilevel"/>
    <w:tmpl w:val="12E4F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724866"/>
    <w:multiLevelType w:val="multilevel"/>
    <w:tmpl w:val="85C8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F02E22"/>
    <w:multiLevelType w:val="hybridMultilevel"/>
    <w:tmpl w:val="07A0DE6A"/>
    <w:lvl w:ilvl="0" w:tplc="F85A56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CE1125"/>
    <w:multiLevelType w:val="hybridMultilevel"/>
    <w:tmpl w:val="6B925DB4"/>
    <w:lvl w:ilvl="0" w:tplc="465C856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291A9A"/>
    <w:multiLevelType w:val="multilevel"/>
    <w:tmpl w:val="7B085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9"/>
  </w:num>
  <w:num w:numId="5">
    <w:abstractNumId w:val="3"/>
  </w:num>
  <w:num w:numId="6">
    <w:abstractNumId w:val="1"/>
  </w:num>
  <w:num w:numId="7">
    <w:abstractNumId w:val="11"/>
  </w:num>
  <w:num w:numId="8">
    <w:abstractNumId w:val="10"/>
  </w:num>
  <w:num w:numId="9">
    <w:abstractNumId w:val="2"/>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1E"/>
    <w:rsid w:val="00030060"/>
    <w:rsid w:val="00064BBE"/>
    <w:rsid w:val="000E2E22"/>
    <w:rsid w:val="000E751E"/>
    <w:rsid w:val="000F7865"/>
    <w:rsid w:val="00377719"/>
    <w:rsid w:val="00382D24"/>
    <w:rsid w:val="00384555"/>
    <w:rsid w:val="003F3253"/>
    <w:rsid w:val="004915A5"/>
    <w:rsid w:val="004D7CA5"/>
    <w:rsid w:val="004E105C"/>
    <w:rsid w:val="00524F55"/>
    <w:rsid w:val="006514F4"/>
    <w:rsid w:val="00653A68"/>
    <w:rsid w:val="006D2B19"/>
    <w:rsid w:val="006E6B04"/>
    <w:rsid w:val="00863402"/>
    <w:rsid w:val="009779CF"/>
    <w:rsid w:val="00A50B1F"/>
    <w:rsid w:val="00A578F1"/>
    <w:rsid w:val="00A660ED"/>
    <w:rsid w:val="00B45906"/>
    <w:rsid w:val="00C30756"/>
    <w:rsid w:val="00D7776A"/>
    <w:rsid w:val="00E52988"/>
    <w:rsid w:val="00E8425C"/>
    <w:rsid w:val="00ED1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6D7D"/>
  <w15:chartTrackingRefBased/>
  <w15:docId w15:val="{30ADD150-5C1C-4FF9-BB9B-46508183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751E"/>
    <w:pPr>
      <w:ind w:left="720"/>
      <w:contextualSpacing/>
    </w:pPr>
  </w:style>
  <w:style w:type="paragraph" w:customStyle="1" w:styleId="Default">
    <w:name w:val="Default"/>
    <w:rsid w:val="00524F55"/>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524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1958</Words>
  <Characters>10769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Collin</dc:creator>
  <cp:keywords/>
  <dc:description/>
  <cp:lastModifiedBy>Maxime Collin</cp:lastModifiedBy>
  <cp:revision>10</cp:revision>
  <dcterms:created xsi:type="dcterms:W3CDTF">2019-04-02T18:53:00Z</dcterms:created>
  <dcterms:modified xsi:type="dcterms:W3CDTF">2019-04-08T10:49:00Z</dcterms:modified>
</cp:coreProperties>
</file>